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971D" w14:textId="06978EBF" w:rsidR="003C37A8" w:rsidRDefault="00F10EEB">
      <w:pPr>
        <w:pStyle w:val="TitreChapitre"/>
        <w:numPr>
          <w:ilvl w:val="0"/>
          <w:numId w:val="11"/>
        </w:numPr>
      </w:pPr>
      <w:r>
        <w:t>Principales évolutions législatives et réglementaires récentes</w:t>
      </w:r>
    </w:p>
    <w:p w14:paraId="5A76E8CC" w14:textId="2EB529C7" w:rsidR="003C37A8" w:rsidRDefault="00F10EEB" w:rsidP="00640C6B">
      <w:pPr>
        <w:pStyle w:val="SousTitreChapitre"/>
        <w:numPr>
          <w:ilvl w:val="0"/>
          <w:numId w:val="0"/>
        </w:numPr>
      </w:pPr>
      <w:r>
        <w:t>Loi de finances pour 2022 - f</w:t>
      </w:r>
      <w:r w:rsidR="00F978C2">
        <w:t>iscalité des particuliers</w:t>
      </w:r>
    </w:p>
    <w:p w14:paraId="536AB3E4" w14:textId="0B267667" w:rsidR="00B9132B" w:rsidRDefault="00A84CB4" w:rsidP="00B9132B">
      <w:pPr>
        <w:pStyle w:val="Intertitre1"/>
      </w:pPr>
      <w:r>
        <w:t>Immobilier</w:t>
      </w:r>
      <w:r w:rsidR="00B9132B">
        <w:t xml:space="preserve"> de défiscalisation </w:t>
      </w:r>
    </w:p>
    <w:p w14:paraId="1ECDBCCB" w14:textId="3D368F60" w:rsidR="003C37A8" w:rsidRDefault="0070171F" w:rsidP="00B9132B">
      <w:pPr>
        <w:pStyle w:val="Intertitre2"/>
      </w:pPr>
      <w:r>
        <w:t>Prorogation et t</w:t>
      </w:r>
      <w:r w:rsidR="00E33FB8">
        <w:t xml:space="preserve">ransformation du dispositif « Cosse ancien » </w:t>
      </w:r>
      <w:r w:rsidR="00F10EEB">
        <w:t>(aussi appelé</w:t>
      </w:r>
      <w:r w:rsidR="00E33FB8">
        <w:t xml:space="preserve"> « </w:t>
      </w:r>
      <w:r w:rsidR="00B40B8F">
        <w:t>L</w:t>
      </w:r>
      <w:r w:rsidR="00E33FB8">
        <w:t>ouer abordable »</w:t>
      </w:r>
      <w:r w:rsidR="00F10EEB">
        <w:t>).</w:t>
      </w:r>
    </w:p>
    <w:p w14:paraId="1E05AB98" w14:textId="024A59C0" w:rsidR="00B40B8F" w:rsidRDefault="00B40B8F" w:rsidP="00B40B8F">
      <w:pPr>
        <w:pStyle w:val="CorpsTexte"/>
      </w:pPr>
      <w:r>
        <w:t xml:space="preserve">L’article 47 de la loi proroge </w:t>
      </w:r>
      <w:r w:rsidR="008F1489">
        <w:t>jusqu’au 31/12/2024</w:t>
      </w:r>
      <w:r>
        <w:t xml:space="preserve"> le dispositif « Cosse anc</w:t>
      </w:r>
      <w:r w:rsidR="00F10EEB">
        <w:t>ien ».</w:t>
      </w:r>
    </w:p>
    <w:p w14:paraId="0F7A11D0" w14:textId="488B8549" w:rsidR="00B40B8F" w:rsidRDefault="00B40B8F" w:rsidP="00B40B8F">
      <w:pPr>
        <w:pStyle w:val="CorpsTexte"/>
      </w:pPr>
      <w:r>
        <w:t xml:space="preserve">Pour rappel, ce dispositif permet aux propriétaires de logements, qui les donnent en location dans le cadre d'une convention conclue avec l’Agence Nationale de l’Habitat (ANAH), de bénéficier </w:t>
      </w:r>
      <w:r w:rsidR="00F10EEB">
        <w:t xml:space="preserve">d’un avantage fiscal, sous la forme, jusqu’alors, </w:t>
      </w:r>
      <w:r>
        <w:t>d'une déduction spécifique des revenus fonciers comprise entre 15 % et 85 %, selon le niveau de tension du marché locatif dans la zone de situation du logement et le caractère plus ou moins social de la location.</w:t>
      </w:r>
    </w:p>
    <w:p w14:paraId="2CFBBED3" w14:textId="6E3594A0" w:rsidR="008F1489" w:rsidRPr="00A84CB4" w:rsidRDefault="008F1489" w:rsidP="00B40B8F">
      <w:pPr>
        <w:pStyle w:val="CorpsTexte"/>
        <w:rPr>
          <w:rStyle w:val="Accentuation1"/>
        </w:rPr>
      </w:pPr>
      <w:r w:rsidRPr="00A84CB4">
        <w:rPr>
          <w:rStyle w:val="Accentuation1"/>
        </w:rPr>
        <w:t xml:space="preserve">La loi de finances pour 2022 transforme le dispositif en remplaçant la déduction fiscale par une réduction d’impôt sur les revenus dès lors que la convention a été enregistrée par l’Anah à compter du 01/03/2022. </w:t>
      </w:r>
    </w:p>
    <w:p w14:paraId="3C5AD56D" w14:textId="66E41E45" w:rsidR="00C730E6" w:rsidRDefault="00C730E6" w:rsidP="00A84CB4">
      <w:pPr>
        <w:pStyle w:val="Puce1"/>
      </w:pPr>
      <w:r>
        <w:t>Comme pour la déduction fiscale, la réduction d’impôt est conditionnée au respect d’un niveau de performance énergétique globale du logement</w:t>
      </w:r>
      <w:r w:rsidR="00E06A74">
        <w:t xml:space="preserve"> (à fixer par arrêté ministériel). </w:t>
      </w:r>
    </w:p>
    <w:p w14:paraId="4881E7EE" w14:textId="77777777" w:rsidR="00544DEB" w:rsidRDefault="00E06A74" w:rsidP="00544DEB">
      <w:pPr>
        <w:pStyle w:val="Puce1"/>
      </w:pPr>
      <w:r>
        <w:t xml:space="preserve">Les taux de réduction d’impôt sur les loyers perçus sont uniformes sur l’ensemble du territoire, ils dépendent </w:t>
      </w:r>
      <w:r w:rsidR="00AF360C">
        <w:t xml:space="preserve">du segment locatif (intermédiaire, social ou très social) et de la mise en place ou non d’une intermédiation locative. </w:t>
      </w:r>
    </w:p>
    <w:p w14:paraId="61E1AB2A" w14:textId="7D4483D1" w:rsidR="00544DEB" w:rsidRDefault="00544DEB" w:rsidP="00544DEB">
      <w:pPr>
        <w:pStyle w:val="CorpsTexte"/>
      </w:pPr>
      <w:r>
        <w:t>Un texte réglementaire est attendu prochainement. Il fixera les modalités d’application. </w:t>
      </w:r>
    </w:p>
    <w:p w14:paraId="19661FAB" w14:textId="7721AC73" w:rsidR="007645BF" w:rsidRDefault="00E06A74" w:rsidP="00650537">
      <w:pPr>
        <w:pStyle w:val="CorpsTexte"/>
      </w:pPr>
      <w:r>
        <w:t xml:space="preserve">Les anciennes modalités du dispositif </w:t>
      </w:r>
      <w:r w:rsidR="00C730E6">
        <w:t xml:space="preserve">restent applicables aux conventions enregistrées jusqu’au 28/02/2022. </w:t>
      </w:r>
    </w:p>
    <w:p w14:paraId="69D60D0D" w14:textId="77777777" w:rsidR="00A84CB4" w:rsidRDefault="00A84CB4" w:rsidP="00B9132B">
      <w:pPr>
        <w:pStyle w:val="Intertitre2"/>
      </w:pPr>
    </w:p>
    <w:p w14:paraId="00A773FF" w14:textId="7FA7F7B0" w:rsidR="0070171F" w:rsidRDefault="0070171F" w:rsidP="00B9132B">
      <w:pPr>
        <w:pStyle w:val="Intertitre2"/>
      </w:pPr>
      <w:r>
        <w:t>Pror</w:t>
      </w:r>
      <w:r w:rsidR="00650537">
        <w:t>o</w:t>
      </w:r>
      <w:r>
        <w:t xml:space="preserve">gation du dispositif </w:t>
      </w:r>
      <w:r w:rsidR="00650537">
        <w:t>« </w:t>
      </w:r>
      <w:r>
        <w:t>Denormandie</w:t>
      </w:r>
      <w:r w:rsidR="00650537">
        <w:t> »</w:t>
      </w:r>
    </w:p>
    <w:p w14:paraId="7C73366B" w14:textId="7177D29B" w:rsidR="00B9132B" w:rsidRDefault="00ED3230" w:rsidP="00ED3230">
      <w:pPr>
        <w:pStyle w:val="CorpsTexte"/>
      </w:pPr>
      <w:r>
        <w:t xml:space="preserve">Le dispositif « Denormandie » a été </w:t>
      </w:r>
      <w:r w:rsidRPr="006353E7">
        <w:rPr>
          <w:rStyle w:val="Accentuation1"/>
        </w:rPr>
        <w:t>prorogé jusqu’au 31/12/2023</w:t>
      </w:r>
      <w:r>
        <w:t>. Ce dispositif</w:t>
      </w:r>
      <w:r w:rsidR="00154E45">
        <w:t>, qui</w:t>
      </w:r>
      <w:r>
        <w:t xml:space="preserve"> prend la forme d’une réduction d’impôt</w:t>
      </w:r>
      <w:r w:rsidR="00154E45">
        <w:t xml:space="preserve">, est destiné à encourager la rénovation dans l’ancien, dans les villes de taille moyenne, pour favoriser leur revitalisation. </w:t>
      </w:r>
    </w:p>
    <w:p w14:paraId="79228C90" w14:textId="77777777" w:rsidR="00A84CB4" w:rsidRDefault="00A84CB4" w:rsidP="00B9132B">
      <w:pPr>
        <w:pStyle w:val="Intertitre2"/>
      </w:pPr>
    </w:p>
    <w:p w14:paraId="29042629" w14:textId="53BF9E23" w:rsidR="0070171F" w:rsidRDefault="00AF360C" w:rsidP="00B9132B">
      <w:pPr>
        <w:pStyle w:val="Intertitre2"/>
      </w:pPr>
      <w:r>
        <w:t xml:space="preserve">Prorogation du dispositif </w:t>
      </w:r>
      <w:r w:rsidR="00650537">
        <w:t>« </w:t>
      </w:r>
      <w:r>
        <w:t>Censi-Bouvard</w:t>
      </w:r>
      <w:r w:rsidR="00650537">
        <w:t> »</w:t>
      </w:r>
      <w:r w:rsidR="00D570CE">
        <w:t xml:space="preserve"> </w:t>
      </w:r>
    </w:p>
    <w:p w14:paraId="46DD0AEC" w14:textId="138E42E0" w:rsidR="00B9132B" w:rsidRDefault="00D570CE" w:rsidP="00D570CE">
      <w:pPr>
        <w:pStyle w:val="CorpsTexte"/>
      </w:pPr>
      <w:r>
        <w:t xml:space="preserve">Le dispositif Censi-Bouvard est </w:t>
      </w:r>
      <w:r w:rsidRPr="006353E7">
        <w:rPr>
          <w:rStyle w:val="Accentuation1"/>
        </w:rPr>
        <w:t>prorogé jusqu’au 31/12/2022</w:t>
      </w:r>
      <w:r w:rsidR="00650537">
        <w:t>. Pour rappel, ce dispositif vise l’investissement locatif meublé non professionnel dans le neuf (ou ancien avec réhabilitation) et ouvre droit à une réduction d’impôt de 11</w:t>
      </w:r>
      <w:r w:rsidR="00544DEB">
        <w:t xml:space="preserve"> </w:t>
      </w:r>
      <w:r w:rsidR="00650537">
        <w:t xml:space="preserve">%, étalée sur 9 ans. </w:t>
      </w:r>
    </w:p>
    <w:p w14:paraId="4A77F5EC" w14:textId="06841A2A" w:rsidR="00AA7384" w:rsidRDefault="00A84CB4" w:rsidP="00B9132B">
      <w:pPr>
        <w:pStyle w:val="Intertitre2"/>
      </w:pPr>
      <w:r>
        <w:lastRenderedPageBreak/>
        <w:t>N</w:t>
      </w:r>
      <w:r w:rsidR="00B927B4">
        <w:t xml:space="preserve">ouveau </w:t>
      </w:r>
      <w:r w:rsidR="00AA7384">
        <w:t>dispositif « Pinel + »</w:t>
      </w:r>
    </w:p>
    <w:p w14:paraId="17CE9283" w14:textId="45E66EBF" w:rsidR="00B927B4" w:rsidRDefault="00354F83" w:rsidP="005F5DB6">
      <w:pPr>
        <w:pStyle w:val="CorpsTexte"/>
      </w:pPr>
      <w:r>
        <w:t>Le</w:t>
      </w:r>
      <w:r w:rsidR="005F5DB6" w:rsidRPr="00354F83">
        <w:t xml:space="preserve"> dispositif Pinel devait expirer en 2021</w:t>
      </w:r>
      <w:r>
        <w:t xml:space="preserve"> mais</w:t>
      </w:r>
      <w:r w:rsidR="005F5DB6" w:rsidRPr="00354F83">
        <w:t xml:space="preserve"> avait été prorogé</w:t>
      </w:r>
      <w:r w:rsidR="001F3446">
        <w:t xml:space="preserve"> jusqu’au 31/12/2024</w:t>
      </w:r>
      <w:r w:rsidR="005F5DB6" w:rsidRPr="00354F83">
        <w:t xml:space="preserve"> par la loi de finances pour 2021</w:t>
      </w:r>
      <w:r>
        <w:t xml:space="preserve">, moyennant </w:t>
      </w:r>
      <w:r w:rsidR="005F5DB6" w:rsidRPr="00354F83">
        <w:t>une réduction des avantages fiscaux dès 2023</w:t>
      </w:r>
      <w:r w:rsidR="00A84CB4">
        <w:t xml:space="preserve"> (baisse progressive des taux de réduction d’impôt)</w:t>
      </w:r>
      <w:r w:rsidR="005F5DB6" w:rsidRPr="00354F83">
        <w:t>.</w:t>
      </w:r>
      <w:r w:rsidR="005F5DB6">
        <w:t xml:space="preserve"> </w:t>
      </w:r>
    </w:p>
    <w:p w14:paraId="61E89907" w14:textId="5103737B" w:rsidR="0008627D" w:rsidRDefault="00354F83" w:rsidP="005F5DB6">
      <w:pPr>
        <w:pStyle w:val="CorpsTexte"/>
      </w:pPr>
      <w:r>
        <w:t>La loi de finances pour 2022</w:t>
      </w:r>
      <w:r w:rsidR="001F3446">
        <w:t xml:space="preserve"> </w:t>
      </w:r>
      <w:r w:rsidR="00A84CB4">
        <w:t>crée le</w:t>
      </w:r>
      <w:r w:rsidR="001F3446">
        <w:t xml:space="preserve"> « Pinel + » : les taux de réduction d’impôt applicables pour les investissements réalisés en 2023 ou 2024 sont identiques à ceux applicables en 2022, so</w:t>
      </w:r>
      <w:r w:rsidR="00385211">
        <w:t>us réserve que les logements respectent certaines exigences (</w:t>
      </w:r>
      <w:r w:rsidR="00A84CB4">
        <w:t xml:space="preserve">notamment </w:t>
      </w:r>
      <w:r w:rsidR="00385211">
        <w:t>nouvelles normes de construction</w:t>
      </w:r>
      <w:r w:rsidR="00A84CB4">
        <w:t xml:space="preserve"> et</w:t>
      </w:r>
      <w:r w:rsidR="00385211">
        <w:t xml:space="preserve"> de confort</w:t>
      </w:r>
      <w:r w:rsidR="00F23DBF">
        <w:t>).</w:t>
      </w:r>
      <w:r w:rsidR="0008627D">
        <w:t xml:space="preserve"> </w:t>
      </w:r>
    </w:p>
    <w:p w14:paraId="1AD30BA7" w14:textId="0E461F4E" w:rsidR="00F23DBF" w:rsidRDefault="00F23DBF" w:rsidP="005F5DB6">
      <w:pPr>
        <w:pStyle w:val="CorpsTexte"/>
      </w:pPr>
      <w:r>
        <w:t>Le taux de la réduction d’impôt dépend</w:t>
      </w:r>
      <w:r w:rsidR="00A84CB4">
        <w:t>ra</w:t>
      </w:r>
      <w:r>
        <w:t xml:space="preserve"> d</w:t>
      </w:r>
      <w:r w:rsidR="00A3522B">
        <w:t xml:space="preserve">e la durée de l’engagement de location : </w:t>
      </w:r>
    </w:p>
    <w:p w14:paraId="696A521A" w14:textId="47A0D1B4" w:rsidR="00A3522B" w:rsidRDefault="00A3522B" w:rsidP="00A3522B">
      <w:pPr>
        <w:pStyle w:val="Puce1"/>
      </w:pPr>
      <w:r>
        <w:t>12</w:t>
      </w:r>
      <w:r w:rsidR="0008627D">
        <w:t xml:space="preserve"> </w:t>
      </w:r>
      <w:r>
        <w:t>% pour un engagement de location de 6 ans</w:t>
      </w:r>
    </w:p>
    <w:p w14:paraId="35FA46F3" w14:textId="3C4A28B5" w:rsidR="0008627D" w:rsidRDefault="0008627D" w:rsidP="00A3522B">
      <w:pPr>
        <w:pStyle w:val="Puce1"/>
      </w:pPr>
      <w:r>
        <w:t>18 % pour un engagement de location de 9 ans</w:t>
      </w:r>
    </w:p>
    <w:p w14:paraId="061B7992" w14:textId="71D54D00" w:rsidR="005F5DB6" w:rsidRDefault="0008627D" w:rsidP="005F5DB6">
      <w:pPr>
        <w:pStyle w:val="Puce1"/>
      </w:pPr>
      <w:r>
        <w:t>21 % pour un engagement de location de 12 ans</w:t>
      </w:r>
    </w:p>
    <w:p w14:paraId="2C62DD65" w14:textId="0B6B713C" w:rsidR="00884EF2" w:rsidRDefault="00A84CB4" w:rsidP="00884EF2">
      <w:pPr>
        <w:pStyle w:val="CorpsTexte"/>
      </w:pPr>
      <w:r>
        <w:t>Un texte réglementaire est attendu prochainement. Il fixera les modalités d’application. </w:t>
      </w:r>
    </w:p>
    <w:p w14:paraId="7B4EA288" w14:textId="77777777" w:rsidR="00544DEB" w:rsidRDefault="00544DEB" w:rsidP="00532EF3">
      <w:pPr>
        <w:pStyle w:val="Intertitre1"/>
        <w:numPr>
          <w:ilvl w:val="2"/>
          <w:numId w:val="13"/>
        </w:numPr>
      </w:pPr>
    </w:p>
    <w:p w14:paraId="216CCE19" w14:textId="53A85195" w:rsidR="00532EF3" w:rsidRDefault="00532EF3" w:rsidP="00532EF3">
      <w:pPr>
        <w:pStyle w:val="Intertitre1"/>
        <w:numPr>
          <w:ilvl w:val="2"/>
          <w:numId w:val="13"/>
        </w:numPr>
      </w:pPr>
      <w:r>
        <w:t>Système du quotient en cas de déficit : les optimisations via l’épargne retraite restent possibles</w:t>
      </w:r>
      <w:r w:rsidR="00A84CB4">
        <w:t xml:space="preserve"> malgré la réforme</w:t>
      </w:r>
    </w:p>
    <w:p w14:paraId="662B4B54" w14:textId="69B09765" w:rsidR="00532EF3" w:rsidRDefault="00532EF3" w:rsidP="00532EF3">
      <w:pPr>
        <w:pStyle w:val="CorpsTexte"/>
      </w:pPr>
      <w:r>
        <w:t xml:space="preserve">La loi de finances pour 2022 met un terme à certaines optimisations liées à l’utilisation du système du quotient. En effet, l’article 6 de la loi précise désormais que les déficits catégoriels ou globaux s’imputent sur les revenus exceptionnels ou différés avant l’application du système du quotient. </w:t>
      </w:r>
      <w:r w:rsidR="00EE0E58">
        <w:t>Les nouvelles dispositions s’appliquent à partir du 01/01/2021.</w:t>
      </w:r>
    </w:p>
    <w:p w14:paraId="6040661B" w14:textId="7B2BE08B" w:rsidR="00532EF3" w:rsidRDefault="00532EF3" w:rsidP="00532EF3">
      <w:pPr>
        <w:pStyle w:val="CorpsTexte"/>
      </w:pPr>
      <w:r>
        <w:rPr>
          <w:rStyle w:val="Accentuation1"/>
        </w:rPr>
        <w:t>Toutefois, il</w:t>
      </w:r>
      <w:r w:rsidRPr="00532EF3">
        <w:rPr>
          <w:rStyle w:val="Accentuation1"/>
        </w:rPr>
        <w:t xml:space="preserve"> reste possible d’optimiser le recours au système du quotient au moyen d’un versement sur un produit d’épargne retraite </w:t>
      </w:r>
      <w:r>
        <w:rPr>
          <w:rStyle w:val="Accentuation1"/>
        </w:rPr>
        <w:t xml:space="preserve">(tel qu’un PER) </w:t>
      </w:r>
      <w:r w:rsidRPr="00532EF3">
        <w:rPr>
          <w:rStyle w:val="Accentuation1"/>
        </w:rPr>
        <w:t>la même année que la perception de revenus exceptionnels (ou différés).</w:t>
      </w:r>
      <w:r>
        <w:t xml:space="preserve"> Ce versement est dans un premier temps déduit du revenu global « ordinaire », pour calculer l’impôt sur le revenu ordinaire net. Ensuite, l’impôt est calculé sur ce revenu ordinaire majoré du ¼ du revenu exceptionnel (ou différé). </w:t>
      </w:r>
    </w:p>
    <w:p w14:paraId="3DBD4780" w14:textId="04E8AED9" w:rsidR="00532EF3" w:rsidRDefault="00532EF3" w:rsidP="00884EF2">
      <w:pPr>
        <w:pStyle w:val="CorpsTexte"/>
      </w:pPr>
    </w:p>
    <w:p w14:paraId="5E05E582" w14:textId="3BFFBAC8" w:rsidR="00F10EEB" w:rsidRDefault="00F10EEB" w:rsidP="00F10EEB">
      <w:pPr>
        <w:pStyle w:val="Intertitre1"/>
      </w:pPr>
      <w:r>
        <w:t>Girardin industriel : attention au nouveau délai de reprise de l’administration fiscale</w:t>
      </w:r>
    </w:p>
    <w:p w14:paraId="23429C2C" w14:textId="5CAD5A4E" w:rsidR="00F10EEB" w:rsidRDefault="00F10EEB" w:rsidP="00F10EEB">
      <w:pPr>
        <w:pStyle w:val="CorpsTexte"/>
      </w:pPr>
      <w:r>
        <w:t xml:space="preserve">Dans le cas où l’investissement a nécessité un agrément du ministre chargé du budget et où le contribuable ne respecte pas les engagements pris pour son obtention ou les conditions auxquelles l’octroi de l’agrément a été subordonné, </w:t>
      </w:r>
      <w:r w:rsidRPr="00EE0E58">
        <w:rPr>
          <w:rStyle w:val="Accentuation1"/>
        </w:rPr>
        <w:t>le délai de reprise de l’administration fiscale est de 3 ans suivant celle au cours de laquelle l’évènement est intervenu</w:t>
      </w:r>
      <w:r>
        <w:t>.</w:t>
      </w:r>
    </w:p>
    <w:p w14:paraId="0F42DC84" w14:textId="77777777" w:rsidR="00A84CB4" w:rsidRDefault="00A84CB4">
      <w:pPr>
        <w:rPr>
          <w:rFonts w:ascii="Trebuchet MS" w:eastAsia="Trebuchet MS" w:hAnsi="Trebuchet MS"/>
          <w:b/>
          <w:color w:val="577188"/>
          <w:sz w:val="28"/>
        </w:rPr>
      </w:pPr>
      <w:r>
        <w:br w:type="page"/>
      </w:r>
    </w:p>
    <w:p w14:paraId="10DD62F8" w14:textId="264063D6" w:rsidR="00F10EEB" w:rsidRDefault="00F10EEB" w:rsidP="00F10EEB">
      <w:pPr>
        <w:pStyle w:val="Intertitre1"/>
      </w:pPr>
      <w:r>
        <w:lastRenderedPageBreak/>
        <w:t>Aménagement du régime d’imposition des gains de cession d’actifs numériques</w:t>
      </w:r>
    </w:p>
    <w:p w14:paraId="3ACBA825" w14:textId="52C0DDA1" w:rsidR="00F10EEB" w:rsidRDefault="00F10EEB" w:rsidP="00F10EEB">
      <w:pPr>
        <w:pStyle w:val="CorpsTexte"/>
      </w:pPr>
      <w:r>
        <w:t xml:space="preserve">La loi de finances pour 2022 prévoit que les plus-values issues des cessions d’actifs numériques réalisées </w:t>
      </w:r>
      <w:r w:rsidRPr="001706CC">
        <w:rPr>
          <w:rStyle w:val="Accentuation1"/>
        </w:rPr>
        <w:t>à compter du 01/01/202</w:t>
      </w:r>
      <w:r w:rsidR="00544DEB">
        <w:rPr>
          <w:rStyle w:val="Accentuation1"/>
        </w:rPr>
        <w:t>1</w:t>
      </w:r>
      <w:r>
        <w:t xml:space="preserve"> pourront être, </w:t>
      </w:r>
      <w:r w:rsidRPr="001706CC">
        <w:rPr>
          <w:rStyle w:val="Accentuation1"/>
        </w:rPr>
        <w:t>sur option</w:t>
      </w:r>
      <w:r>
        <w:t xml:space="preserve">, imposées au </w:t>
      </w:r>
      <w:r w:rsidRPr="00393746">
        <w:rPr>
          <w:rStyle w:val="Accentuation1"/>
        </w:rPr>
        <w:t>barème progressif de l’impôt sur le revenu</w:t>
      </w:r>
      <w:r>
        <w:t xml:space="preserve">. </w:t>
      </w:r>
    </w:p>
    <w:p w14:paraId="4C034EA4" w14:textId="77777777" w:rsidR="006247BC" w:rsidRDefault="006247BC" w:rsidP="00F10EEB">
      <w:pPr>
        <w:pStyle w:val="CorpsTexte"/>
      </w:pPr>
    </w:p>
    <w:p w14:paraId="4FF78339" w14:textId="77777777" w:rsidR="00F10EEB" w:rsidRDefault="00F10EEB" w:rsidP="00F10EEB">
      <w:pPr>
        <w:pStyle w:val="Intertitre1"/>
        <w:numPr>
          <w:ilvl w:val="0"/>
          <w:numId w:val="0"/>
        </w:numPr>
      </w:pPr>
      <w:r>
        <w:t xml:space="preserve">Prolongation du plafond majoré pour les dons ouvrant droit à la réduction d’impôt « Coluche » et pour les dons aux associations de lutte contre les violences conjugales </w:t>
      </w:r>
    </w:p>
    <w:p w14:paraId="6571FBB2" w14:textId="77777777" w:rsidR="00F10EEB" w:rsidRDefault="00F10EEB" w:rsidP="00F10EEB">
      <w:pPr>
        <w:pStyle w:val="Intertitre2"/>
      </w:pPr>
      <w:r>
        <w:t>Les dons aux organismes d’aide aux personnes en difficulté</w:t>
      </w:r>
    </w:p>
    <w:p w14:paraId="60D1BB45" w14:textId="77777777" w:rsidR="00F10EEB" w:rsidRDefault="00F10EEB" w:rsidP="00F10EEB">
      <w:pPr>
        <w:pStyle w:val="CorpsTexte"/>
      </w:pPr>
      <w:r>
        <w:t xml:space="preserve">La réduction d’impôt « Coluche » pour les dons aux organismes d’aide aux personnes en difficulté (fourniture gratuite de repas, aide au logement, soins) est de 75 % du montant des sommes versées, retenues dans la limite exceptionnelle de 1 000 € (contre 552 € auparavant). </w:t>
      </w:r>
    </w:p>
    <w:p w14:paraId="690A3D93" w14:textId="77777777" w:rsidR="00F10EEB" w:rsidRDefault="00F10EEB" w:rsidP="00F10EEB">
      <w:pPr>
        <w:pStyle w:val="CorpsTexte"/>
      </w:pPr>
      <w:r>
        <w:t xml:space="preserve">La part du don dépassant cette somme est soumise à une réduction d’impôt de 66 % (dans une limite de 20 % du revenu imposable). </w:t>
      </w:r>
    </w:p>
    <w:p w14:paraId="48E925BD" w14:textId="77777777" w:rsidR="00F10EEB" w:rsidRDefault="00F10EEB" w:rsidP="00F10EEB">
      <w:pPr>
        <w:pStyle w:val="CorpsTexte"/>
      </w:pPr>
      <w:r>
        <w:t>Ce plafond avait été majoré par la 2</w:t>
      </w:r>
      <w:r w:rsidRPr="00D2776C">
        <w:rPr>
          <w:vertAlign w:val="superscript"/>
        </w:rPr>
        <w:t>nde</w:t>
      </w:r>
      <w:r>
        <w:t xml:space="preserve"> loi de finances rectificative pour 2020. La loi de finances pour 2022 a prorogé cette majoration </w:t>
      </w:r>
      <w:r w:rsidRPr="006A1B40">
        <w:rPr>
          <w:rStyle w:val="Accentuation1"/>
        </w:rPr>
        <w:t>jusqu’au 31/12/2023.</w:t>
      </w:r>
      <w:r>
        <w:t xml:space="preserve"> </w:t>
      </w:r>
    </w:p>
    <w:p w14:paraId="5F9A7BD9" w14:textId="77777777" w:rsidR="00244D11" w:rsidRDefault="00244D11" w:rsidP="00F10EEB">
      <w:pPr>
        <w:pStyle w:val="Intertitre2"/>
      </w:pPr>
    </w:p>
    <w:p w14:paraId="3359AEBC" w14:textId="1DAF0D35" w:rsidR="00F10EEB" w:rsidRDefault="00F10EEB" w:rsidP="00F10EEB">
      <w:pPr>
        <w:pStyle w:val="Intertitre2"/>
      </w:pPr>
      <w:r>
        <w:t>Les dons aux associations de lutte contre les violences conjugales</w:t>
      </w:r>
    </w:p>
    <w:p w14:paraId="12912B6E" w14:textId="77777777" w:rsidR="00F10EEB" w:rsidRDefault="00F10EEB" w:rsidP="00F10EEB">
      <w:pPr>
        <w:pStyle w:val="CorpsTexte"/>
      </w:pPr>
      <w:r>
        <w:t xml:space="preserve">La loi de finances pour 2020 avait augmenté la réduction d’impôt pour les dons aux associations de lutte contre les violences conjugales, en la faisant passer de 66 % à 75 %, avec la même limite de 1 000 € que celle applicable à la réduction d’impôt « Coluche ». </w:t>
      </w:r>
    </w:p>
    <w:p w14:paraId="663BD939" w14:textId="77777777" w:rsidR="00F10EEB" w:rsidRDefault="00F10EEB" w:rsidP="00F10EEB">
      <w:pPr>
        <w:pStyle w:val="CorpsTexte"/>
      </w:pPr>
      <w:r>
        <w:t xml:space="preserve">L’augmentation de ce taux devait s’appliquer aux versements effectués entre le 01/01/2020 et le 31/12/2021. </w:t>
      </w:r>
    </w:p>
    <w:p w14:paraId="21095DBD" w14:textId="77777777" w:rsidR="00F10EEB" w:rsidRDefault="00F10EEB" w:rsidP="00F10EEB">
      <w:pPr>
        <w:pStyle w:val="CorpsTexte"/>
      </w:pPr>
      <w:r>
        <w:t xml:space="preserve">L’article 91 de la loi de finances pour 2022 a prolongé cette réduction exceptionnelle </w:t>
      </w:r>
      <w:r w:rsidRPr="006A1B40">
        <w:rPr>
          <w:rStyle w:val="Accentuation1"/>
        </w:rPr>
        <w:t xml:space="preserve">jusqu’au 31/12/2022. </w:t>
      </w:r>
    </w:p>
    <w:p w14:paraId="7C13206B" w14:textId="44C0C7E2" w:rsidR="00F10EEB" w:rsidRPr="00F10EEB" w:rsidRDefault="00F10EEB" w:rsidP="00F10EEB">
      <w:pPr>
        <w:pStyle w:val="SousTitreChapitre"/>
        <w:numPr>
          <w:ilvl w:val="0"/>
          <w:numId w:val="0"/>
        </w:numPr>
      </w:pPr>
      <w:r>
        <w:br w:type="page"/>
      </w:r>
      <w:r>
        <w:lastRenderedPageBreak/>
        <w:t>Loi de finances pour 2022 - fiscalité des professionnels</w:t>
      </w:r>
    </w:p>
    <w:p w14:paraId="185743DD" w14:textId="26F40B2E" w:rsidR="003C37A8" w:rsidRDefault="007645BF" w:rsidP="00FE0A83">
      <w:pPr>
        <w:pStyle w:val="Intertitre1"/>
      </w:pPr>
      <w:r>
        <w:t>Aménagement</w:t>
      </w:r>
      <w:r w:rsidR="000E1AF8">
        <w:t>s</w:t>
      </w:r>
      <w:r>
        <w:t xml:space="preserve"> </w:t>
      </w:r>
      <w:r w:rsidR="000E1AF8">
        <w:t>relatifs à</w:t>
      </w:r>
      <w:r w:rsidR="00F42A92">
        <w:t xml:space="preserve"> </w:t>
      </w:r>
      <w:r>
        <w:t xml:space="preserve">l’abattement </w:t>
      </w:r>
      <w:r w:rsidR="000E1AF8">
        <w:t>« </w:t>
      </w:r>
      <w:r>
        <w:t>dirigeant</w:t>
      </w:r>
      <w:r w:rsidR="000E1AF8">
        <w:t> »</w:t>
      </w:r>
      <w:r>
        <w:t xml:space="preserve"> pour départ en retraite</w:t>
      </w:r>
      <w:r w:rsidR="00F83DB5">
        <w:t xml:space="preserve"> dans le cas de la cession de titres de société soumise à l’IS</w:t>
      </w:r>
    </w:p>
    <w:p w14:paraId="48DEF46D" w14:textId="791CFF54" w:rsidR="00154E45" w:rsidRDefault="00684A33" w:rsidP="00684A33">
      <w:pPr>
        <w:pStyle w:val="Intertitre2"/>
      </w:pPr>
      <w:r>
        <w:t>Prorogation du dispositif</w:t>
      </w:r>
    </w:p>
    <w:p w14:paraId="11692A1E" w14:textId="49887CE5" w:rsidR="00684A33" w:rsidRDefault="00684A33" w:rsidP="00684A33">
      <w:pPr>
        <w:pStyle w:val="CorpsTexte"/>
      </w:pPr>
      <w:r>
        <w:t xml:space="preserve">L’abattement fixe de 500 000 € applicable aux gains réalisés par les dirigeants de PME soumises à l’impôt sur les sociétés, lors de leur départ en retraite, </w:t>
      </w:r>
      <w:r w:rsidRPr="006353E7">
        <w:rPr>
          <w:rStyle w:val="Accentuation1"/>
        </w:rPr>
        <w:t>est prorogé jusqu’au 31/12/2024.</w:t>
      </w:r>
      <w:r>
        <w:t xml:space="preserve"> </w:t>
      </w:r>
    </w:p>
    <w:p w14:paraId="76CD2573" w14:textId="77777777" w:rsidR="00C14C10" w:rsidRDefault="00C14C10" w:rsidP="00AA7384">
      <w:pPr>
        <w:pStyle w:val="Intertitre2"/>
      </w:pPr>
    </w:p>
    <w:p w14:paraId="142C3D07" w14:textId="07AF9AAA" w:rsidR="00AA7384" w:rsidRDefault="00AA7384" w:rsidP="00AA7384">
      <w:pPr>
        <w:pStyle w:val="Intertitre2"/>
      </w:pPr>
      <w:r>
        <w:t>Délai supplémentaire d’un an pour céder les titres</w:t>
      </w:r>
    </w:p>
    <w:p w14:paraId="2E2E6893" w14:textId="7C8ABF42" w:rsidR="00684A33" w:rsidRPr="006353E7" w:rsidRDefault="00684A33" w:rsidP="006353E7">
      <w:pPr>
        <w:pStyle w:val="CorpsTexte"/>
      </w:pPr>
      <w:r>
        <w:t xml:space="preserve">Pour bénéficier de cet abattement, le dirigeant cédant doit cesser toute fonction dans la société dont il cède les titres, et faire valoir ses droits à la retraite </w:t>
      </w:r>
      <w:r w:rsidR="00AA7384">
        <w:t xml:space="preserve">dans les 24 mois suivant ou précédant la </w:t>
      </w:r>
      <w:r w:rsidR="00AA7384" w:rsidRPr="006353E7">
        <w:t>cession.</w:t>
      </w:r>
    </w:p>
    <w:p w14:paraId="6099E005" w14:textId="7AF09721" w:rsidR="00B9132B" w:rsidRDefault="001E014C" w:rsidP="00F85C7B">
      <w:pPr>
        <w:pStyle w:val="CorpsTexte"/>
      </w:pPr>
      <w:r w:rsidRPr="006353E7">
        <w:rPr>
          <w:rStyle w:val="Accentuation1"/>
          <w:b w:val="0"/>
          <w:color w:val="595959"/>
        </w:rPr>
        <w:t>La loi de finances pour 2022 porte à 3 ans ce délai pour les dirigeants faisant valoir leurs droits à la retraite</w:t>
      </w:r>
      <w:r w:rsidR="000E1AF8">
        <w:rPr>
          <w:rStyle w:val="Accentuation1"/>
          <w:b w:val="0"/>
          <w:color w:val="595959"/>
        </w:rPr>
        <w:t xml:space="preserve"> (</w:t>
      </w:r>
      <w:r w:rsidRPr="006353E7">
        <w:rPr>
          <w:rStyle w:val="Accentuation1"/>
          <w:b w:val="0"/>
          <w:color w:val="595959"/>
        </w:rPr>
        <w:t>lorsque le départ en retraite précède la cession</w:t>
      </w:r>
      <w:r w:rsidR="000E1AF8">
        <w:rPr>
          <w:rStyle w:val="Accentuation1"/>
          <w:b w:val="0"/>
          <w:color w:val="595959"/>
        </w:rPr>
        <w:t>)</w:t>
      </w:r>
      <w:r w:rsidR="000E1AF8" w:rsidRPr="000E1AF8">
        <w:rPr>
          <w:rStyle w:val="Accentuation1"/>
        </w:rPr>
        <w:t xml:space="preserve"> entre le 01/01/2019 et le 31/12/2021</w:t>
      </w:r>
      <w:r w:rsidRPr="006353E7">
        <w:rPr>
          <w:rStyle w:val="Accentuation1"/>
          <w:b w:val="0"/>
          <w:color w:val="595959"/>
        </w:rPr>
        <w:t xml:space="preserve">. </w:t>
      </w:r>
      <w:r w:rsidR="000E1AF8" w:rsidRPr="000E1AF8">
        <w:rPr>
          <w:rStyle w:val="Accentuation1"/>
        </w:rPr>
        <w:t xml:space="preserve">Aussi, </w:t>
      </w:r>
      <w:r w:rsidR="000E1AF8">
        <w:rPr>
          <w:rStyle w:val="Accentuation1"/>
        </w:rPr>
        <w:t>l</w:t>
      </w:r>
      <w:r w:rsidR="000E1AF8" w:rsidRPr="000E1AF8">
        <w:rPr>
          <w:rStyle w:val="Accentuation1"/>
        </w:rPr>
        <w:t>a portée de cette mesure reste limitée.</w:t>
      </w:r>
    </w:p>
    <w:p w14:paraId="6B95CF25" w14:textId="77777777" w:rsidR="000E1AF8" w:rsidRDefault="000E1AF8" w:rsidP="00FE0A83">
      <w:pPr>
        <w:pStyle w:val="Intertitre1"/>
      </w:pPr>
    </w:p>
    <w:p w14:paraId="71F6D070" w14:textId="27E4D62B" w:rsidR="00B139CA" w:rsidRDefault="00F83DB5" w:rsidP="00FE0A83">
      <w:pPr>
        <w:pStyle w:val="Intertitre1"/>
      </w:pPr>
      <w:r>
        <w:t>Cession d’e</w:t>
      </w:r>
      <w:r w:rsidR="00B139CA">
        <w:t xml:space="preserve">ntreprise individuelle </w:t>
      </w:r>
      <w:r>
        <w:t>ou de titres de société soumises à l’IR</w:t>
      </w:r>
    </w:p>
    <w:p w14:paraId="32BCA48A" w14:textId="6DB91F68" w:rsidR="00E07864" w:rsidRDefault="00E07864" w:rsidP="00B139CA">
      <w:pPr>
        <w:pStyle w:val="Intertitre2"/>
      </w:pPr>
      <w:r>
        <w:t>Augmentation des plafonds d’exonération des plus-values de cession d’entreprises individuelles</w:t>
      </w:r>
    </w:p>
    <w:p w14:paraId="21547E24" w14:textId="7EF20724" w:rsidR="00E07864" w:rsidRDefault="00E07864">
      <w:pPr>
        <w:pStyle w:val="CorpsTexte"/>
      </w:pPr>
      <w:r>
        <w:t xml:space="preserve">L’article 19 de la loi de finances pour 2022 relève les plafonds du dispositif d’exonération prévu </w:t>
      </w:r>
      <w:r w:rsidR="00B465A5">
        <w:t>à</w:t>
      </w:r>
      <w:r>
        <w:t xml:space="preserve"> l’article 238 </w:t>
      </w:r>
      <w:r w:rsidR="00CB357B">
        <w:t>quindecies I du CGI</w:t>
      </w:r>
      <w:r w:rsidR="009C21D5">
        <w:t xml:space="preserve"> pour les cessions réalisées à compter du 01/01/2022. </w:t>
      </w:r>
    </w:p>
    <w:p w14:paraId="6B32BD0E" w14:textId="4C8B81AD" w:rsidR="00CB357B" w:rsidRDefault="00CB357B">
      <w:pPr>
        <w:pStyle w:val="CorpsTexte"/>
      </w:pPr>
      <w:r>
        <w:t xml:space="preserve">Les plus-values réalisées à l’occasion de la cession d’une entreprise individuelle ou d’une branche complète d’activité </w:t>
      </w:r>
      <w:r w:rsidR="00F978C2">
        <w:t xml:space="preserve">ou de titres de société soumise à l’IR </w:t>
      </w:r>
      <w:r>
        <w:t xml:space="preserve">bénéficie désormais d’une </w:t>
      </w:r>
      <w:r w:rsidRPr="00F978C2">
        <w:rPr>
          <w:rStyle w:val="Accentuation1"/>
        </w:rPr>
        <w:t>exonération totale si la valeur des biens transmis n’excède pas 500 000 €</w:t>
      </w:r>
      <w:r w:rsidR="00F978C2">
        <w:t xml:space="preserve"> (300 000 € jusqu’au 31/12/2021)</w:t>
      </w:r>
      <w:r>
        <w:t xml:space="preserve"> et d’une </w:t>
      </w:r>
      <w:r w:rsidRPr="00F978C2">
        <w:rPr>
          <w:rStyle w:val="Accentuation1"/>
        </w:rPr>
        <w:t>exonération partielle si la valeur des biens transmis n’excède pas 1 000 000 €</w:t>
      </w:r>
      <w:r w:rsidR="00F978C2" w:rsidRPr="00F978C2">
        <w:rPr>
          <w:rStyle w:val="Accentuation1"/>
        </w:rPr>
        <w:t xml:space="preserve"> </w:t>
      </w:r>
      <w:r w:rsidR="00F978C2">
        <w:t>(500 000 € jusqu’au 31/12/2021)</w:t>
      </w:r>
      <w:r>
        <w:t xml:space="preserve">. </w:t>
      </w:r>
    </w:p>
    <w:p w14:paraId="25037479" w14:textId="231F3AD0" w:rsidR="00B465A5" w:rsidRDefault="00B465A5">
      <w:pPr>
        <w:pStyle w:val="CorpsTexte"/>
      </w:pPr>
      <w:r>
        <w:t xml:space="preserve">Les autres conditions du dispositif demeurent inchangées. </w:t>
      </w:r>
    </w:p>
    <w:p w14:paraId="663E8635" w14:textId="77777777" w:rsidR="00C14C10" w:rsidRDefault="00C14C10" w:rsidP="00FE0A83">
      <w:pPr>
        <w:pStyle w:val="Intertitre2"/>
      </w:pPr>
    </w:p>
    <w:p w14:paraId="00200041" w14:textId="533653ED" w:rsidR="00FE0A83" w:rsidRPr="0031126A" w:rsidRDefault="00B139CA" w:rsidP="00FE0A83">
      <w:pPr>
        <w:pStyle w:val="Intertitre2"/>
      </w:pPr>
      <w:r w:rsidRPr="0031126A">
        <w:t>Exonération liée au départ en retraite : d</w:t>
      </w:r>
      <w:r w:rsidR="00FE0A83" w:rsidRPr="0031126A">
        <w:t xml:space="preserve">élai supplémentaire d’un an pour céder </w:t>
      </w:r>
      <w:r w:rsidRPr="0031126A">
        <w:t>l’entreprise</w:t>
      </w:r>
    </w:p>
    <w:p w14:paraId="4CFA7865" w14:textId="585A198E" w:rsidR="00B139CA" w:rsidRDefault="00681D54" w:rsidP="0031126A">
      <w:pPr>
        <w:pStyle w:val="CorpsTexte"/>
      </w:pPr>
      <w:r w:rsidRPr="0031126A">
        <w:t>L</w:t>
      </w:r>
      <w:r w:rsidR="00876839" w:rsidRPr="0031126A">
        <w:t xml:space="preserve">a plus-value réalisée lors de la cession de l’entreprise peut être totalement exonérée en raison du départ en retraite du cédant. </w:t>
      </w:r>
      <w:r w:rsidR="0031126A" w:rsidRPr="0031126A">
        <w:t xml:space="preserve">L’une des conditions pour bénéficier de cette exonération est que le cédant fasse valoir ses droits à la retraite dans les 24 mois suivant </w:t>
      </w:r>
      <w:r w:rsidR="0031126A">
        <w:t>o</w:t>
      </w:r>
      <w:r w:rsidR="0031126A" w:rsidRPr="0031126A">
        <w:t>u précédant la cession.</w:t>
      </w:r>
      <w:r w:rsidR="0031126A">
        <w:t xml:space="preserve"> </w:t>
      </w:r>
    </w:p>
    <w:p w14:paraId="139350F4" w14:textId="0A340B0B" w:rsidR="0031126A" w:rsidRDefault="0031126A" w:rsidP="0031126A">
      <w:pPr>
        <w:pStyle w:val="CorpsTexte"/>
      </w:pPr>
      <w:r>
        <w:t xml:space="preserve">La loi de finances pour 2022 a temporairement allongé le délai de cession : </w:t>
      </w:r>
      <w:r w:rsidR="0032539E">
        <w:t xml:space="preserve">la cession pourra intervenir dans les 3 ans du départ en retraite, </w:t>
      </w:r>
      <w:r w:rsidR="0032539E" w:rsidRPr="00F978C2">
        <w:rPr>
          <w:rStyle w:val="Accentuation1"/>
        </w:rPr>
        <w:t xml:space="preserve">à condition que la retraite soit liquidée entre </w:t>
      </w:r>
      <w:r w:rsidRPr="00F978C2">
        <w:rPr>
          <w:rStyle w:val="Accentuation1"/>
        </w:rPr>
        <w:t>le 01/01/2019 et le 31/12/2021</w:t>
      </w:r>
      <w:r w:rsidR="0032539E">
        <w:t>.</w:t>
      </w:r>
    </w:p>
    <w:p w14:paraId="4DF31EE7" w14:textId="77777777" w:rsidR="004F3BC7" w:rsidRPr="00EA0518" w:rsidRDefault="004F3BC7" w:rsidP="004F3BC7">
      <w:pPr>
        <w:pStyle w:val="SousTitreChapitre"/>
        <w:numPr>
          <w:ilvl w:val="0"/>
          <w:numId w:val="0"/>
        </w:numPr>
      </w:pPr>
      <w:r>
        <w:lastRenderedPageBreak/>
        <w:t>Rappel de mesures contenues dans les lois de finances précédentes</w:t>
      </w:r>
    </w:p>
    <w:p w14:paraId="4D143311" w14:textId="77777777" w:rsidR="00FB303B" w:rsidRDefault="00FB303B" w:rsidP="00FB303B">
      <w:pPr>
        <w:pStyle w:val="Intertitre1"/>
      </w:pPr>
      <w:bookmarkStart w:id="0" w:name="_Hlk92962024"/>
      <w:r>
        <w:t>Investissement PME : le point sur les taux de réduction d’impôt en 2022</w:t>
      </w:r>
    </w:p>
    <w:p w14:paraId="1AF7F39D" w14:textId="77777777" w:rsidR="00FB303B" w:rsidRDefault="00FB303B" w:rsidP="00FB303B">
      <w:pPr>
        <w:pStyle w:val="CorpsTexte"/>
      </w:pPr>
      <w:r w:rsidRPr="00A17E3A">
        <w:t>L</w:t>
      </w:r>
      <w:r>
        <w:t>’investissement au capital de PME permet de bénéficier, sous certaines conditions, d’une réduction d’impôt sur le revenu, comprise entre 25 % et 30 % :</w:t>
      </w:r>
    </w:p>
    <w:p w14:paraId="35498FC0" w14:textId="77777777" w:rsidR="00FB303B" w:rsidRDefault="00FB303B" w:rsidP="00FB303B">
      <w:pPr>
        <w:pStyle w:val="Puce1"/>
      </w:pPr>
      <w:r>
        <w:t>25 % pour les investissements en direct, FIP métropole et FCPI ;</w:t>
      </w:r>
    </w:p>
    <w:p w14:paraId="621C77B0" w14:textId="77777777" w:rsidR="00FB303B" w:rsidRDefault="00FB303B" w:rsidP="00FB303B">
      <w:pPr>
        <w:pStyle w:val="Puce1"/>
      </w:pPr>
      <w:r>
        <w:t>30 % pour les FIP CORSE et FIP DOM.</w:t>
      </w:r>
    </w:p>
    <w:p w14:paraId="79288AF4" w14:textId="77777777" w:rsidR="00FB303B" w:rsidRPr="00536D5D" w:rsidRDefault="00FB303B" w:rsidP="00FB303B">
      <w:pPr>
        <w:pStyle w:val="CorpsTexte"/>
        <w:rPr>
          <w:u w:val="single"/>
        </w:rPr>
      </w:pPr>
      <w:r>
        <w:rPr>
          <w:u w:val="single"/>
        </w:rPr>
        <w:t>R</w:t>
      </w:r>
      <w:r w:rsidRPr="00536D5D">
        <w:rPr>
          <w:u w:val="single"/>
        </w:rPr>
        <w:t>appels :</w:t>
      </w:r>
    </w:p>
    <w:p w14:paraId="2367A1B0" w14:textId="77777777" w:rsidR="00FB303B" w:rsidRPr="00C43F24" w:rsidRDefault="00FB303B" w:rsidP="00FB303B">
      <w:pPr>
        <w:pStyle w:val="Puce1"/>
        <w:numPr>
          <w:ilvl w:val="6"/>
          <w:numId w:val="23"/>
        </w:numPr>
        <w:tabs>
          <w:tab w:val="left" w:pos="726"/>
        </w:tabs>
      </w:pPr>
      <w:r w:rsidRPr="00C43F24">
        <w:t xml:space="preserve">La majoration du taux de réduction d’impôt à 25 % (au lieu de 18 %) pour les investissements en direct, les FIP métropole et les FCPI devait en principe prendre fin le 31/12/2021. </w:t>
      </w:r>
    </w:p>
    <w:p w14:paraId="59B297E8" w14:textId="77777777" w:rsidR="00FB303B" w:rsidRPr="009C2DDD" w:rsidRDefault="00FB303B" w:rsidP="00FB303B">
      <w:pPr>
        <w:pStyle w:val="Puce1"/>
        <w:numPr>
          <w:ilvl w:val="0"/>
          <w:numId w:val="0"/>
        </w:numPr>
        <w:ind w:left="726"/>
        <w:rPr>
          <w:rStyle w:val="Accentuation1"/>
          <w:b w:val="0"/>
        </w:rPr>
      </w:pPr>
      <w:r>
        <w:t>Toutefois, l</w:t>
      </w:r>
      <w:r w:rsidRPr="00A17E3A">
        <w:t xml:space="preserve">a loi de finances rectificative pour 2021 parue au Journal Officiel le 20/07/2021 </w:t>
      </w:r>
      <w:r>
        <w:t xml:space="preserve">a prévu </w:t>
      </w:r>
      <w:r w:rsidRPr="007650D8">
        <w:rPr>
          <w:rStyle w:val="Accentuation1"/>
        </w:rPr>
        <w:t>une prolongation de la majoration jusqu'au 31/12/2022, sous réserve de la validation par la Commission européenne (qui n’a pas encore eu lieu</w:t>
      </w:r>
      <w:r>
        <w:rPr>
          <w:rStyle w:val="Accentuation1"/>
        </w:rPr>
        <w:t xml:space="preserve"> à l’heure où nous écrivons ces lignes).</w:t>
      </w:r>
    </w:p>
    <w:p w14:paraId="337A7740" w14:textId="77777777" w:rsidR="00FB303B" w:rsidRDefault="00FB303B" w:rsidP="00FB303B">
      <w:pPr>
        <w:pStyle w:val="Puce1"/>
        <w:numPr>
          <w:ilvl w:val="0"/>
          <w:numId w:val="0"/>
        </w:numPr>
        <w:ind w:left="726"/>
        <w:rPr>
          <w:rStyle w:val="Accentuation1"/>
        </w:rPr>
      </w:pPr>
      <w:r>
        <w:rPr>
          <w:rStyle w:val="Accentuation1"/>
        </w:rPr>
        <w:t>Fiscalement, il est donc recommandé d’attendre l’accord de la Commission européenne pour réaliser un investissement PME en 2022 et bénéficier du taux de réduction maximal.</w:t>
      </w:r>
    </w:p>
    <w:p w14:paraId="7C3D8F2A" w14:textId="77777777" w:rsidR="00FB303B" w:rsidRDefault="00FB303B" w:rsidP="00FB303B">
      <w:pPr>
        <w:pStyle w:val="Puce1"/>
        <w:numPr>
          <w:ilvl w:val="0"/>
          <w:numId w:val="0"/>
        </w:numPr>
        <w:ind w:left="726"/>
        <w:rPr>
          <w:rStyle w:val="Accentuation1"/>
          <w:b w:val="0"/>
        </w:rPr>
      </w:pPr>
    </w:p>
    <w:p w14:paraId="60AA31F2" w14:textId="77777777" w:rsidR="00FB303B" w:rsidRDefault="00FB303B" w:rsidP="00FB303B">
      <w:pPr>
        <w:pStyle w:val="Puce1"/>
        <w:rPr>
          <w:rStyle w:val="Accentuation1"/>
          <w:b w:val="0"/>
        </w:rPr>
      </w:pPr>
      <w:r w:rsidRPr="009C2DDD">
        <w:rPr>
          <w:rStyle w:val="Accentuation1"/>
        </w:rPr>
        <w:t>L’assiette de calcul de la réduction d’impôt est constituée par la quote-part d’investissements éligibles dans le fonds</w:t>
      </w:r>
      <w:r>
        <w:rPr>
          <w:rStyle w:val="Accentuation1"/>
        </w:rPr>
        <w:t xml:space="preserve"> </w:t>
      </w:r>
      <w:r w:rsidRPr="00147C40">
        <w:t>(et non pas nécessairement sur le montant total de la souscription retenue hors frais).</w:t>
      </w:r>
    </w:p>
    <w:p w14:paraId="7C4AFC22" w14:textId="77777777" w:rsidR="00FB303B" w:rsidRPr="00536D5D" w:rsidRDefault="00FB303B" w:rsidP="00FB303B">
      <w:pPr>
        <w:pStyle w:val="Puce1"/>
        <w:numPr>
          <w:ilvl w:val="0"/>
          <w:numId w:val="0"/>
        </w:numPr>
        <w:ind w:left="726"/>
        <w:rPr>
          <w:rStyle w:val="Accentuation1"/>
        </w:rPr>
      </w:pPr>
    </w:p>
    <w:p w14:paraId="63B7A1C8" w14:textId="77777777" w:rsidR="00FB303B" w:rsidRPr="00DC1047" w:rsidRDefault="00FB303B" w:rsidP="00FB303B">
      <w:pPr>
        <w:pStyle w:val="Puce1"/>
      </w:pPr>
      <w:r>
        <w:t>Il est possible de cumuler un investissement FCPI, un investissement FIP métropole, et un investissement FIP Corse / DOM.  L’assiette de réduction (12 000 € pour une personne seule, 24 000 € pour un couple soumis à une imposition commune) s’applique séparément sur les FCPI, sur les FIP et les FIP Corse / DOM. La réduction obtenue entre dans le plafond des niches fiscales.</w:t>
      </w:r>
    </w:p>
    <w:bookmarkEnd w:id="0"/>
    <w:p w14:paraId="02F551C6" w14:textId="3D1A0ACC" w:rsidR="004F3BC7" w:rsidRDefault="004F3BC7" w:rsidP="004F3BC7">
      <w:pPr>
        <w:pStyle w:val="Intertitre1"/>
      </w:pPr>
      <w:r>
        <w:t xml:space="preserve">Prorogation de certains dispositifs </w:t>
      </w:r>
    </w:p>
    <w:p w14:paraId="184EC1D8" w14:textId="77777777" w:rsidR="004F3BC7" w:rsidRDefault="004F3BC7" w:rsidP="004F3BC7">
      <w:pPr>
        <w:pStyle w:val="CorpsTexte"/>
      </w:pPr>
      <w:r>
        <w:t>La réduction d’impôt SOFICA a été prorogée pour les souscriptions réalisées jusqu’au 31/12/2023.</w:t>
      </w:r>
    </w:p>
    <w:p w14:paraId="206F35B1" w14:textId="77777777" w:rsidR="004F3BC7" w:rsidRDefault="004F3BC7" w:rsidP="004F3BC7">
      <w:pPr>
        <w:pStyle w:val="CorpsTexte"/>
      </w:pPr>
      <w:r>
        <w:t>La réduction d’impôt DEFI-Forêt a été prorogée jusqu’au 31/12/2022.</w:t>
      </w:r>
    </w:p>
    <w:p w14:paraId="6B8AC556" w14:textId="66665222" w:rsidR="004F3BC7" w:rsidRDefault="004F3BC7" w:rsidP="004F3BC7">
      <w:pPr>
        <w:pStyle w:val="Intertitre1"/>
      </w:pPr>
      <w:r>
        <w:lastRenderedPageBreak/>
        <w:t>La baisse du taux de l’IS se poursuit</w:t>
      </w:r>
    </w:p>
    <w:p w14:paraId="45C16502" w14:textId="3F475A0B" w:rsidR="004F3BC7" w:rsidRDefault="004F3BC7" w:rsidP="004F3BC7">
      <w:pPr>
        <w:pStyle w:val="CorpsTexte"/>
      </w:pPr>
      <w:r>
        <w:t>Depuis le 01/01/2022, le taux de droit commun de l’IS est passé de 26,5</w:t>
      </w:r>
      <w:r w:rsidR="00DD5987">
        <w:t>0</w:t>
      </w:r>
      <w:r>
        <w:t xml:space="preserve"> % à 25 %. </w:t>
      </w:r>
    </w:p>
    <w:p w14:paraId="274CE5CE" w14:textId="77777777" w:rsidR="004F3BC7" w:rsidRDefault="004F3BC7" w:rsidP="004F3BC7">
      <w:pPr>
        <w:pStyle w:val="Puce1"/>
      </w:pPr>
      <w:r>
        <w:t>Le taux reste à 15 % pour la partie du bénéfice imposable n’excédant pas 38 120 €.</w:t>
      </w:r>
    </w:p>
    <w:p w14:paraId="4FBE69F1" w14:textId="77777777" w:rsidR="00A15771" w:rsidRDefault="00A15771">
      <w:pPr>
        <w:rPr>
          <w:rFonts w:ascii="Trebuchet MS" w:eastAsia="Trebuchet MS" w:hAnsi="Trebuchet MS"/>
          <w:b/>
          <w:color w:val="577188"/>
          <w:sz w:val="28"/>
        </w:rPr>
      </w:pPr>
      <w:r>
        <w:br w:type="page"/>
      </w:r>
    </w:p>
    <w:p w14:paraId="6EC171F2" w14:textId="504059B6" w:rsidR="004F3BC7" w:rsidRPr="00287AEA" w:rsidRDefault="004F3BC7" w:rsidP="004F3BC7">
      <w:pPr>
        <w:pStyle w:val="Intertitre1"/>
      </w:pPr>
      <w:r>
        <w:t>Revenus professionnels</w:t>
      </w:r>
      <w:r w:rsidR="00536D5D">
        <w:t> : s</w:t>
      </w:r>
      <w:r w:rsidRPr="00287AEA">
        <w:t xml:space="preserve">uppression progressive de la majoration des bénéfices pour non-adhésion à un </w:t>
      </w:r>
      <w:r>
        <w:t>O</w:t>
      </w:r>
      <w:r w:rsidRPr="00287AEA">
        <w:t>GA </w:t>
      </w:r>
      <w:r>
        <w:t xml:space="preserve">ou </w:t>
      </w:r>
      <w:r w:rsidR="00536D5D">
        <w:t>à</w:t>
      </w:r>
      <w:r w:rsidRPr="00287AEA">
        <w:t xml:space="preserve"> une AGA </w:t>
      </w:r>
    </w:p>
    <w:p w14:paraId="0E3D3FF6" w14:textId="56519DE8" w:rsidR="004F3BC7" w:rsidRDefault="004F3BC7" w:rsidP="004F3BC7">
      <w:pPr>
        <w:pStyle w:val="CorpsTexte"/>
      </w:pPr>
      <w:r>
        <w:t>Jusqu’à l’imposition des revenus 2020, les contribuables relevant du régime réel d’imposition pour leurs revenus professionnels (BNC, BIC et BA) qui n’adhéraient pas à un organisme de gestion agréé (OGA) ou à une association de gestion agréée (AGA) voyaient leurs revenus majorés de 25 %</w:t>
      </w:r>
      <w:r w:rsidR="00E00326">
        <w:t xml:space="preserve"> pour le calcul de l’impôt.</w:t>
      </w:r>
    </w:p>
    <w:p w14:paraId="5ECB7B56" w14:textId="77777777" w:rsidR="004F3BC7" w:rsidRDefault="004F3BC7" w:rsidP="004F3BC7">
      <w:pPr>
        <w:pStyle w:val="CorpsTexte"/>
        <w:spacing w:before="240"/>
      </w:pPr>
      <w:r w:rsidRPr="00287AEA">
        <w:t>La loi de finances pour 2021 a organisé la suppression progressive de cette majoration. Dès</w:t>
      </w:r>
      <w:r>
        <w:t xml:space="preserve"> l’imposition des revenus de l’année 2020, la majoration en cas de non-adhésion a été abaissée à 20 %. Les revenus de l’année 2021 sont majorés de 15 % et ceux de l’année 2022 de 10 %. </w:t>
      </w:r>
    </w:p>
    <w:p w14:paraId="3F476A35" w14:textId="77777777" w:rsidR="004F3BC7" w:rsidRPr="004F3BC7" w:rsidRDefault="004F3BC7" w:rsidP="004F3BC7">
      <w:pPr>
        <w:pStyle w:val="CorpsTexte"/>
        <w:spacing w:before="240"/>
        <w:rPr>
          <w:rStyle w:val="Accentuation1"/>
        </w:rPr>
      </w:pPr>
      <w:r w:rsidRPr="004F3BC7">
        <w:rPr>
          <w:rStyle w:val="Accentuation1"/>
        </w:rPr>
        <w:t>En 2023, la majoration sera totalement supprimée.</w:t>
      </w:r>
    </w:p>
    <w:p w14:paraId="397B4328" w14:textId="77777777" w:rsidR="00E00326" w:rsidRDefault="00E00326" w:rsidP="004F3BC7">
      <w:pPr>
        <w:pStyle w:val="Intertitre2"/>
      </w:pPr>
    </w:p>
    <w:p w14:paraId="077E9319" w14:textId="1423B8F5" w:rsidR="004F3BC7" w:rsidRDefault="004F3BC7" w:rsidP="00E00326">
      <w:pPr>
        <w:pStyle w:val="Intertitre1"/>
      </w:pPr>
      <w:r>
        <w:t>Suppression de la taxe d’habitation à compter de 2023</w:t>
      </w:r>
    </w:p>
    <w:p w14:paraId="1DDDEAF2" w14:textId="3751C719" w:rsidR="004F3BC7" w:rsidRDefault="004F3BC7" w:rsidP="004F3BC7">
      <w:pPr>
        <w:pStyle w:val="CorpsTexte"/>
      </w:pPr>
      <w:r>
        <w:t xml:space="preserve">On rappellera que les contribuables dont le </w:t>
      </w:r>
      <w:bookmarkStart w:id="1" w:name="_Hlk92962450"/>
      <w:r w:rsidR="005F06D2">
        <w:t xml:space="preserve">Revenu Fiscal de Référence </w:t>
      </w:r>
      <w:bookmarkEnd w:id="1"/>
      <w:r>
        <w:t xml:space="preserve">est inférieur à 27 761 € (pour 1 part) bénéficient d’une exonération totale pour la taxe d’habitation 2022. Au-delà de ce seuil, l’exonération est partielle et dégressive (a minima de 65 %). </w:t>
      </w:r>
    </w:p>
    <w:p w14:paraId="658AF69E" w14:textId="77777777" w:rsidR="004F3BC7" w:rsidRPr="00244D11" w:rsidRDefault="004F3BC7" w:rsidP="004F3BC7">
      <w:pPr>
        <w:pStyle w:val="CorpsTexte"/>
        <w:rPr>
          <w:rStyle w:val="Accentuation1"/>
        </w:rPr>
      </w:pPr>
      <w:r w:rsidRPr="00244D11">
        <w:rPr>
          <w:rStyle w:val="Accentuation1"/>
        </w:rPr>
        <w:t xml:space="preserve">A compter de 2023, la taxe d’habitation est supprimée pour l’ensemble des contribuables. </w:t>
      </w:r>
    </w:p>
    <w:p w14:paraId="1F23E7CA" w14:textId="5B992592" w:rsidR="004F3BC7" w:rsidRDefault="004F3BC7" w:rsidP="004F3BC7">
      <w:pPr>
        <w:pStyle w:val="CorpsTexte"/>
      </w:pPr>
      <w:r>
        <w:t xml:space="preserve">Cette suppression, progressive, concerne uniquement la résidence principale. </w:t>
      </w:r>
    </w:p>
    <w:p w14:paraId="1D432609" w14:textId="3416F280" w:rsidR="004F3BC7" w:rsidRDefault="004F3BC7" w:rsidP="004F3BC7">
      <w:pPr>
        <w:pStyle w:val="CorpsTexte"/>
      </w:pPr>
    </w:p>
    <w:p w14:paraId="3D2A748A" w14:textId="475D4C52" w:rsidR="0020604F" w:rsidRDefault="00640C6B" w:rsidP="004F3BC7">
      <w:pPr>
        <w:pStyle w:val="SousTitreChapitre"/>
        <w:numPr>
          <w:ilvl w:val="0"/>
          <w:numId w:val="0"/>
        </w:numPr>
      </w:pPr>
      <w:r>
        <w:t>Actualité</w:t>
      </w:r>
      <w:r w:rsidR="00F10EEB">
        <w:t>s</w:t>
      </w:r>
      <w:r>
        <w:t xml:space="preserve"> patrimoniale</w:t>
      </w:r>
      <w:r w:rsidR="00F10EEB">
        <w:t>s</w:t>
      </w:r>
    </w:p>
    <w:p w14:paraId="25C624DE" w14:textId="77777777" w:rsidR="00A17E3A" w:rsidRDefault="00A17E3A" w:rsidP="00A17E3A">
      <w:pPr>
        <w:pStyle w:val="Intertitre1"/>
      </w:pPr>
      <w:r>
        <w:t xml:space="preserve">Mise à jour du BOFIP du 21/12/2021 sur le pacte Dutreil </w:t>
      </w:r>
    </w:p>
    <w:p w14:paraId="3D811E68" w14:textId="43D7AA5B" w:rsidR="00A17E3A" w:rsidRDefault="00A17E3A" w:rsidP="00A17E3A">
      <w:pPr>
        <w:pStyle w:val="CorpsTexte"/>
      </w:pPr>
      <w:r>
        <w:t>L’administration fiscale avait réalisé une consultation publique du 06/04/2021 sur ses commentaires de l’article 40 de la loi de finances pour 2019. Suite à cette consultation, elle a publié ses commentaires définitifs au BOFIP</w:t>
      </w:r>
      <w:r w:rsidR="004F3BC7">
        <w:t>, parmi lesquels :</w:t>
      </w:r>
      <w:r>
        <w:t xml:space="preserve"> </w:t>
      </w:r>
    </w:p>
    <w:p w14:paraId="1D7859BE" w14:textId="31A802EC" w:rsidR="00A17E3A" w:rsidRDefault="004F3BC7" w:rsidP="00A17E3A">
      <w:pPr>
        <w:pStyle w:val="Puce1"/>
      </w:pPr>
      <w:r>
        <w:t>L</w:t>
      </w:r>
      <w:r w:rsidR="00A17E3A">
        <w:t xml:space="preserve">es activités de location de locaux meublés à usage d’habitation sont exclues du dispositif Dutreil. En revanche, les activités de construction-vente d’immeubles ou de marchands de biens figurent parmi les activités éligibles </w:t>
      </w:r>
      <w:r w:rsidR="00A17E3A" w:rsidRPr="00EA0518">
        <w:t>(BOI-ENR-DMTG-10-20-40-10, N°15)</w:t>
      </w:r>
      <w:r>
        <w:t>.</w:t>
      </w:r>
    </w:p>
    <w:p w14:paraId="2D179F52" w14:textId="1E028877" w:rsidR="00A17E3A" w:rsidRDefault="004F3BC7" w:rsidP="00A17E3A">
      <w:pPr>
        <w:pStyle w:val="Puce1"/>
      </w:pPr>
      <w:r>
        <w:t>S</w:t>
      </w:r>
      <w:r w:rsidR="00A17E3A">
        <w:t xml:space="preserve">’agissant des sociétés exerçant plusieurs activités éligibles, il est tenu compte de l’ensemble de ces activités pour l’appréciation du caractère prépondérant </w:t>
      </w:r>
      <w:r w:rsidR="00A17E3A" w:rsidRPr="00EA0518">
        <w:t>(BOI-ENR-DMTG-10-20-40-10, N°</w:t>
      </w:r>
      <w:r w:rsidR="00A17E3A">
        <w:t>20</w:t>
      </w:r>
      <w:r w:rsidR="00A17E3A" w:rsidRPr="00EA0518">
        <w:t>)</w:t>
      </w:r>
      <w:r>
        <w:t>.</w:t>
      </w:r>
    </w:p>
    <w:p w14:paraId="15029D2B" w14:textId="53DF4BC7" w:rsidR="003C37A8" w:rsidRDefault="004F3BC7" w:rsidP="00E92C6A">
      <w:pPr>
        <w:pStyle w:val="Puce1"/>
      </w:pPr>
      <w:r>
        <w:t>L</w:t>
      </w:r>
      <w:r w:rsidR="00A17E3A">
        <w:t>a fonction de direction peut être exercée par un associé signataire de l’engagement collectif ayant, depuis la signature de cet engagement, transmis tous les titres qui y sont soumis (</w:t>
      </w:r>
      <w:r w:rsidR="00A17E3A" w:rsidRPr="00EA0518">
        <w:t>BOI-ENR-DMTG-10-20-40-10, N°</w:t>
      </w:r>
      <w:r w:rsidR="00A17E3A">
        <w:t>390)</w:t>
      </w:r>
      <w:r>
        <w:t>.</w:t>
      </w:r>
    </w:p>
    <w:sectPr w:rsidR="003C37A8">
      <w:headerReference w:type="default" r:id="rId7"/>
      <w:headerReference w:type="first" r:id="rId8"/>
      <w:footerReference w:type="first" r:id="rId9"/>
      <w:type w:val="continuous"/>
      <w:pgSz w:w="11906" w:h="16838"/>
      <w:pgMar w:top="567" w:right="1134" w:bottom="1417" w:left="1134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FC33" w14:textId="77777777" w:rsidR="008E6DF9" w:rsidRDefault="00640C6B">
      <w:pPr>
        <w:spacing w:after="0" w:line="240" w:lineRule="auto"/>
      </w:pPr>
      <w:r>
        <w:separator/>
      </w:r>
    </w:p>
  </w:endnote>
  <w:endnote w:type="continuationSeparator" w:id="0">
    <w:p w14:paraId="294D8584" w14:textId="77777777" w:rsidR="008E6DF9" w:rsidRDefault="006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5A5" w14:textId="77777777" w:rsidR="003C37A8" w:rsidRDefault="003C37A8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37"/>
      </w:tabs>
      <w:spacing w:line="288" w:lineRule="auto"/>
      <w:jc w:val="center"/>
      <w:rPr>
        <w:rFonts w:ascii="Trebuchet MS" w:eastAsia="Trebuchet MS" w:hAnsi="Trebuchet MS"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2F86" w14:textId="77777777" w:rsidR="008E6DF9" w:rsidRDefault="00640C6B">
      <w:pPr>
        <w:spacing w:after="0" w:line="240" w:lineRule="auto"/>
      </w:pPr>
      <w:r>
        <w:separator/>
      </w:r>
    </w:p>
  </w:footnote>
  <w:footnote w:type="continuationSeparator" w:id="0">
    <w:p w14:paraId="6ED60F6C" w14:textId="77777777" w:rsidR="008E6DF9" w:rsidRDefault="006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BFAD" w14:textId="77777777" w:rsidR="003C37A8" w:rsidRDefault="003C37A8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37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495D" w14:textId="77777777" w:rsidR="003C37A8" w:rsidRDefault="003C37A8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37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"/>
      <w:lvlJc w:val="left"/>
      <w:pPr>
        <w:ind w:left="36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"/>
      <w:lvlJc w:val="left"/>
      <w:pPr>
        <w:ind w:left="72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"/>
      <w:lvlJc w:val="left"/>
      <w:pPr>
        <w:ind w:left="108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"/>
      <w:lvlJc w:val="left"/>
      <w:pPr>
        <w:ind w:left="144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suff w:val="nothing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suff w:val="nothing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suff w:val="nothing"/>
      <w:lvlText w:val="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suff w:val="nothing"/>
      <w:lvlText w:val="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suff w:val="nothing"/>
      <w:lvlText w:val="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suff w:val="nothing"/>
      <w:lvlText w:val="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suff w:val="nothing"/>
      <w:lvlText w:val="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2" w15:restartNumberingAfterBreak="0">
    <w:nsid w:val="010A1BE2"/>
    <w:multiLevelType w:val="multilevel"/>
    <w:tmpl w:val="A36A9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SousTitreChapitre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95959"/>
        <w:position w:val="0"/>
        <w:sz w:val="2"/>
        <w:u w:val="none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2937B82"/>
    <w:multiLevelType w:val="multilevel"/>
    <w:tmpl w:val="E572F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pStyle w:val="Intertitre3"/>
      <w:suff w:val="nothing"/>
      <w:lvlText w:val=""/>
      <w:lvlJc w:val="left"/>
      <w:rPr>
        <w:rFonts w:ascii="Symbol" w:eastAsia="Symbol" w:hAnsi="Symbol" w:hint="default"/>
        <w:b w:val="0"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BA46FB"/>
    <w:multiLevelType w:val="multilevel"/>
    <w:tmpl w:val="79A06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Intertitre1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E53BB5"/>
    <w:multiLevelType w:val="multilevel"/>
    <w:tmpl w:val="A28EC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pStyle w:val="Puce2"/>
      <w:lvlText w:val=""/>
      <w:lvlJc w:val="left"/>
      <w:pPr>
        <w:tabs>
          <w:tab w:val="num" w:pos="1089"/>
        </w:tabs>
        <w:ind w:left="1089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D92E95"/>
    <w:multiLevelType w:val="multilevel"/>
    <w:tmpl w:val="96549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Intertitre1"/>
      <w:lvlText w:val="·"/>
      <w:lvlJc w:val="left"/>
      <w:pPr>
        <w:tabs>
          <w:tab w:val="num" w:pos="726"/>
        </w:tabs>
        <w:ind w:left="726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A678A8"/>
    <w:multiLevelType w:val="multilevel"/>
    <w:tmpl w:val="19D43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Puce1"/>
      <w:lvlText w:val="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/>
        <w:i w:val="0"/>
        <w:strike w:val="0"/>
        <w:color w:val="1D3461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E8978F9"/>
    <w:multiLevelType w:val="multilevel"/>
    <w:tmpl w:val="6594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pStyle w:val="Intertitre4"/>
      <w:lvlText w:val="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1D3461"/>
        <w:position w:val="0"/>
        <w:sz w:val="21"/>
        <w:u w:val="none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3324A2B"/>
    <w:multiLevelType w:val="multilevel"/>
    <w:tmpl w:val="3AD4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pStyle w:val="Intertitre2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1D3461"/>
        <w:position w:val="0"/>
        <w:sz w:val="2"/>
        <w:u w:val="none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6C1413E"/>
    <w:multiLevelType w:val="singleLevel"/>
    <w:tmpl w:val="47C82C5A"/>
    <w:lvl w:ilvl="0">
      <w:start w:val="1"/>
      <w:numFmt w:val="bullet"/>
      <w:pStyle w:val="TitreChapitre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</w:abstractNum>
  <w:abstractNum w:abstractNumId="11" w15:restartNumberingAfterBreak="0">
    <w:nsid w:val="3F642C8B"/>
    <w:multiLevelType w:val="multilevel"/>
    <w:tmpl w:val="319CB7C0"/>
    <w:lvl w:ilvl="0">
      <w:start w:val="1"/>
      <w:numFmt w:val="bullet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1">
      <w:start w:val="1"/>
      <w:numFmt w:val="bullet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95959"/>
        <w:position w:val="0"/>
        <w:sz w:val="2"/>
        <w:u w:val="none"/>
        <w:shd w:val="clear" w:color="auto" w:fill="auto"/>
      </w:rPr>
    </w:lvl>
    <w:lvl w:ilvl="2">
      <w:start w:val="1"/>
      <w:numFmt w:val="bullet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3">
      <w:start w:val="1"/>
      <w:numFmt w:val="bullet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1D3461"/>
        <w:position w:val="0"/>
        <w:sz w:val="2"/>
        <w:u w:val="none"/>
        <w:shd w:val="clear" w:color="auto" w:fill="auto"/>
      </w:rPr>
    </w:lvl>
    <w:lvl w:ilvl="4">
      <w:start w:val="1"/>
      <w:numFmt w:val="bullet"/>
      <w:suff w:val="nothing"/>
      <w:lvlText w:val=""/>
      <w:lvlJc w:val="left"/>
      <w:rPr>
        <w:rFonts w:ascii="Symbol" w:eastAsia="Symbol" w:hAnsi="Symbol" w:hint="default"/>
        <w:b w:val="0"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1089"/>
        </w:tabs>
        <w:ind w:left="1089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05317F"/>
    <w:multiLevelType w:val="multilevel"/>
    <w:tmpl w:val="384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pStyle w:val="Puce3"/>
      <w:lvlText w:val=""/>
      <w:lvlJc w:val="left"/>
      <w:pPr>
        <w:tabs>
          <w:tab w:val="num" w:pos="1452"/>
        </w:tabs>
        <w:ind w:left="1452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</w:abstractNum>
  <w:abstractNum w:abstractNumId="13" w15:restartNumberingAfterBreak="0">
    <w:nsid w:val="6D7859D2"/>
    <w:multiLevelType w:val="multilevel"/>
    <w:tmpl w:val="37029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Puce1"/>
      <w:lvlText w:val=""/>
      <w:lvlJc w:val="left"/>
      <w:pPr>
        <w:tabs>
          <w:tab w:val="num" w:pos="726"/>
        </w:tabs>
        <w:ind w:left="726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740214E"/>
    <w:multiLevelType w:val="multilevel"/>
    <w:tmpl w:val="AEAEF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pStyle w:val="ApplicationCasClientTitre"/>
      <w:lvlText w:val="-"/>
      <w:lvlJc w:val="left"/>
      <w:pPr>
        <w:tabs>
          <w:tab w:val="num" w:pos="1089"/>
        </w:tabs>
        <w:ind w:left="1089" w:hanging="363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8654D9"/>
    <w:multiLevelType w:val="multilevel"/>
    <w:tmpl w:val="ABFED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SousTitreEtude"/>
      <w:suff w:val="nothing"/>
      <w:lvlText w:val=""/>
      <w:lvlJc w:val="left"/>
      <w:rPr>
        <w:rFonts w:ascii="Symbol" w:eastAsia="Symbol" w:hAnsi="Symbol" w:hint="default"/>
        <w:b/>
        <w:i w:val="0"/>
        <w:strike w:val="0"/>
        <w:color w:val="577188"/>
        <w:position w:val="0"/>
        <w:sz w:val="2"/>
        <w:u w:val="none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B9A0456"/>
    <w:multiLevelType w:val="multilevel"/>
    <w:tmpl w:val="017E8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pStyle w:val="PuceApplicationCasClient"/>
      <w:lvlText w:val="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/>
        <w:i w:val="0"/>
        <w:strike w:val="0"/>
        <w:color w:val="1D3461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D4804EA"/>
    <w:multiLevelType w:val="multilevel"/>
    <w:tmpl w:val="777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i w:val="0"/>
        <w:strike w:val="0"/>
        <w:color w:val="595959"/>
        <w:position w:val="0"/>
        <w:sz w:val="21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eastAsia="Symbol" w:hAnsi="Symbol" w:hint="default"/>
        <w:b/>
        <w:i w:val="0"/>
        <w:strike w:val="0"/>
        <w:color w:val="172A3A"/>
        <w:position w:val="0"/>
        <w:sz w:val="21"/>
        <w:u w:val="none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1089"/>
        </w:tabs>
        <w:ind w:left="1089" w:hanging="363"/>
      </w:pPr>
      <w:rPr>
        <w:rFonts w:ascii="Symbol" w:eastAsia="Symbol" w:hAnsi="Symbol" w:hint="default"/>
        <w:b/>
        <w:i w:val="0"/>
        <w:strike w:val="0"/>
        <w:color w:val="172A3A"/>
        <w:position w:val="0"/>
        <w:sz w:val="21"/>
        <w:u w:val="none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1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17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1"/>
  </w:num>
  <w:num w:numId="22">
    <w:abstractNumId w:val="4"/>
  </w:num>
  <w:num w:numId="23">
    <w:abstractNumId w:val="6"/>
  </w:num>
  <w:num w:numId="24">
    <w:abstractNumId w:val="7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A8"/>
    <w:rsid w:val="0001607B"/>
    <w:rsid w:val="000420F7"/>
    <w:rsid w:val="000516A4"/>
    <w:rsid w:val="00052A1D"/>
    <w:rsid w:val="00057D04"/>
    <w:rsid w:val="000611AC"/>
    <w:rsid w:val="0008046C"/>
    <w:rsid w:val="0008627D"/>
    <w:rsid w:val="00093343"/>
    <w:rsid w:val="00095D20"/>
    <w:rsid w:val="000D1ECB"/>
    <w:rsid w:val="000E1AF8"/>
    <w:rsid w:val="00154E45"/>
    <w:rsid w:val="001706CC"/>
    <w:rsid w:val="001D2DD1"/>
    <w:rsid w:val="001E014C"/>
    <w:rsid w:val="001F3446"/>
    <w:rsid w:val="00203517"/>
    <w:rsid w:val="0020604F"/>
    <w:rsid w:val="00206F99"/>
    <w:rsid w:val="00244D11"/>
    <w:rsid w:val="002647F8"/>
    <w:rsid w:val="00287AEA"/>
    <w:rsid w:val="002E24E0"/>
    <w:rsid w:val="002E4819"/>
    <w:rsid w:val="002E7577"/>
    <w:rsid w:val="0031126A"/>
    <w:rsid w:val="0032539E"/>
    <w:rsid w:val="003516BD"/>
    <w:rsid w:val="00354F83"/>
    <w:rsid w:val="00385211"/>
    <w:rsid w:val="00393746"/>
    <w:rsid w:val="003A054A"/>
    <w:rsid w:val="003A4B7B"/>
    <w:rsid w:val="003B3A77"/>
    <w:rsid w:val="003B63DC"/>
    <w:rsid w:val="003C37A8"/>
    <w:rsid w:val="004033C6"/>
    <w:rsid w:val="00492EF2"/>
    <w:rsid w:val="004A4A7C"/>
    <w:rsid w:val="004B6D2E"/>
    <w:rsid w:val="004F3BC7"/>
    <w:rsid w:val="004F7771"/>
    <w:rsid w:val="00532EF3"/>
    <w:rsid w:val="005345BD"/>
    <w:rsid w:val="00536D5D"/>
    <w:rsid w:val="0054396A"/>
    <w:rsid w:val="00544DEB"/>
    <w:rsid w:val="005521E0"/>
    <w:rsid w:val="005541A5"/>
    <w:rsid w:val="005716D0"/>
    <w:rsid w:val="005B27E8"/>
    <w:rsid w:val="005B3A1E"/>
    <w:rsid w:val="005C4C73"/>
    <w:rsid w:val="005D7732"/>
    <w:rsid w:val="005F06D2"/>
    <w:rsid w:val="005F5DB6"/>
    <w:rsid w:val="006247BC"/>
    <w:rsid w:val="00630EC4"/>
    <w:rsid w:val="006353E7"/>
    <w:rsid w:val="00640C6B"/>
    <w:rsid w:val="00642782"/>
    <w:rsid w:val="006475EF"/>
    <w:rsid w:val="00650537"/>
    <w:rsid w:val="00660F6A"/>
    <w:rsid w:val="00681D54"/>
    <w:rsid w:val="00684A33"/>
    <w:rsid w:val="006A1B40"/>
    <w:rsid w:val="006E4A16"/>
    <w:rsid w:val="00700F24"/>
    <w:rsid w:val="0070171F"/>
    <w:rsid w:val="00751D3A"/>
    <w:rsid w:val="007570DB"/>
    <w:rsid w:val="007645BF"/>
    <w:rsid w:val="007650D8"/>
    <w:rsid w:val="007727C3"/>
    <w:rsid w:val="008151BB"/>
    <w:rsid w:val="00876839"/>
    <w:rsid w:val="00884EF2"/>
    <w:rsid w:val="00893666"/>
    <w:rsid w:val="008A2633"/>
    <w:rsid w:val="008B2365"/>
    <w:rsid w:val="008E0366"/>
    <w:rsid w:val="008E6DF9"/>
    <w:rsid w:val="008F1489"/>
    <w:rsid w:val="008F4E68"/>
    <w:rsid w:val="009273F2"/>
    <w:rsid w:val="00942DD0"/>
    <w:rsid w:val="00945540"/>
    <w:rsid w:val="00991B2B"/>
    <w:rsid w:val="009A273B"/>
    <w:rsid w:val="009B0E0C"/>
    <w:rsid w:val="009C21D5"/>
    <w:rsid w:val="009C2DDD"/>
    <w:rsid w:val="00A10FD3"/>
    <w:rsid w:val="00A15771"/>
    <w:rsid w:val="00A17E3A"/>
    <w:rsid w:val="00A3522B"/>
    <w:rsid w:val="00A4638A"/>
    <w:rsid w:val="00A8423D"/>
    <w:rsid w:val="00A84CB4"/>
    <w:rsid w:val="00AA7384"/>
    <w:rsid w:val="00AE4732"/>
    <w:rsid w:val="00AF360C"/>
    <w:rsid w:val="00B139CA"/>
    <w:rsid w:val="00B22AB7"/>
    <w:rsid w:val="00B35EAB"/>
    <w:rsid w:val="00B40B8F"/>
    <w:rsid w:val="00B465A5"/>
    <w:rsid w:val="00B575AF"/>
    <w:rsid w:val="00B72B8B"/>
    <w:rsid w:val="00B86C2C"/>
    <w:rsid w:val="00B9132B"/>
    <w:rsid w:val="00B927B4"/>
    <w:rsid w:val="00BD07F1"/>
    <w:rsid w:val="00C14C10"/>
    <w:rsid w:val="00C25997"/>
    <w:rsid w:val="00C730E6"/>
    <w:rsid w:val="00C74C63"/>
    <w:rsid w:val="00CA5F47"/>
    <w:rsid w:val="00CB357B"/>
    <w:rsid w:val="00D2776C"/>
    <w:rsid w:val="00D479E1"/>
    <w:rsid w:val="00D570CE"/>
    <w:rsid w:val="00DC1047"/>
    <w:rsid w:val="00DD5987"/>
    <w:rsid w:val="00DD7530"/>
    <w:rsid w:val="00E00326"/>
    <w:rsid w:val="00E06A74"/>
    <w:rsid w:val="00E07864"/>
    <w:rsid w:val="00E33FB8"/>
    <w:rsid w:val="00E41CF5"/>
    <w:rsid w:val="00E74EFF"/>
    <w:rsid w:val="00E92C6A"/>
    <w:rsid w:val="00EA0518"/>
    <w:rsid w:val="00EA0D3A"/>
    <w:rsid w:val="00EA279E"/>
    <w:rsid w:val="00ED3230"/>
    <w:rsid w:val="00ED6C02"/>
    <w:rsid w:val="00EE0E58"/>
    <w:rsid w:val="00F10EEB"/>
    <w:rsid w:val="00F210BA"/>
    <w:rsid w:val="00F23DBF"/>
    <w:rsid w:val="00F42A92"/>
    <w:rsid w:val="00F74A23"/>
    <w:rsid w:val="00F81E07"/>
    <w:rsid w:val="00F83402"/>
    <w:rsid w:val="00F83DB5"/>
    <w:rsid w:val="00F85C7B"/>
    <w:rsid w:val="00F978C2"/>
    <w:rsid w:val="00FB303B"/>
    <w:rsid w:val="00FE0A83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D46"/>
  <w15:docId w15:val="{1F203D2D-636C-495C-B1E0-F251448A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rPr>
      <w:rFonts w:ascii="Calibri" w:eastAsia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Police">
    <w:name w:val="Police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rebuchet MS" w:eastAsia="Trebuchet MS" w:hAnsi="Trebuchet MS"/>
      <w:color w:val="595959"/>
      <w:sz w:val="21"/>
    </w:rPr>
  </w:style>
  <w:style w:type="paragraph" w:customStyle="1" w:styleId="TitreChapitre">
    <w:name w:val="TitreChapitre"/>
    <w:basedOn w:val="Police"/>
    <w:qFormat/>
    <w:pPr>
      <w:keepNext/>
      <w:pageBreakBefore/>
      <w:numPr>
        <w:numId w:val="1"/>
      </w:numPr>
      <w:spacing w:after="567"/>
    </w:pPr>
    <w:rPr>
      <w:b/>
      <w:color w:val="577188"/>
      <w:sz w:val="44"/>
    </w:rPr>
  </w:style>
  <w:style w:type="paragraph" w:customStyle="1" w:styleId="SousTitreChapitre">
    <w:name w:val="SousTitreChapitre"/>
    <w:basedOn w:val="Police"/>
    <w:qFormat/>
    <w:pPr>
      <w:keepNext/>
      <w:numPr>
        <w:ilvl w:val="1"/>
        <w:numId w:val="2"/>
      </w:numPr>
      <w:spacing w:before="340" w:after="227"/>
    </w:pPr>
    <w:rPr>
      <w:b/>
      <w:sz w:val="40"/>
    </w:rPr>
  </w:style>
  <w:style w:type="paragraph" w:customStyle="1" w:styleId="Intertitre1">
    <w:name w:val="Intertitre1"/>
    <w:basedOn w:val="Police"/>
    <w:qFormat/>
    <w:pPr>
      <w:keepNext/>
      <w:numPr>
        <w:ilvl w:val="2"/>
        <w:numId w:val="3"/>
      </w:numPr>
      <w:spacing w:before="374" w:after="62"/>
    </w:pPr>
    <w:rPr>
      <w:b/>
      <w:color w:val="577188"/>
      <w:sz w:val="28"/>
    </w:rPr>
  </w:style>
  <w:style w:type="paragraph" w:customStyle="1" w:styleId="Intertitre2">
    <w:name w:val="Intertitre2"/>
    <w:basedOn w:val="Police"/>
    <w:qFormat/>
    <w:pPr>
      <w:keepNext/>
      <w:numPr>
        <w:ilvl w:val="3"/>
        <w:numId w:val="4"/>
      </w:numPr>
      <w:spacing w:before="249" w:after="62"/>
    </w:pPr>
    <w:rPr>
      <w:b/>
      <w:color w:val="1D3461"/>
      <w:sz w:val="24"/>
    </w:rPr>
  </w:style>
  <w:style w:type="paragraph" w:customStyle="1" w:styleId="CorpsTexte">
    <w:name w:val="CorpsTexte"/>
    <w:basedOn w:val="Police"/>
    <w:uiPriority w:val="99"/>
    <w:qFormat/>
    <w:pPr>
      <w:spacing w:before="181" w:after="181" w:line="264" w:lineRule="auto"/>
      <w:jc w:val="both"/>
    </w:pPr>
  </w:style>
  <w:style w:type="paragraph" w:customStyle="1" w:styleId="Puce1">
    <w:name w:val="Puce1"/>
    <w:basedOn w:val="CorpsTexte"/>
    <w:qFormat/>
    <w:pPr>
      <w:numPr>
        <w:ilvl w:val="6"/>
        <w:numId w:val="5"/>
      </w:numPr>
      <w:tabs>
        <w:tab w:val="left" w:pos="726"/>
      </w:tabs>
      <w:spacing w:before="113" w:after="113"/>
    </w:pPr>
  </w:style>
  <w:style w:type="paragraph" w:customStyle="1" w:styleId="Puce2">
    <w:name w:val="Puce2"/>
    <w:basedOn w:val="CorpsTexte"/>
    <w:qFormat/>
    <w:pPr>
      <w:numPr>
        <w:ilvl w:val="7"/>
        <w:numId w:val="6"/>
      </w:numPr>
      <w:tabs>
        <w:tab w:val="left" w:pos="1089"/>
      </w:tabs>
      <w:spacing w:before="113" w:after="113"/>
    </w:pPr>
  </w:style>
  <w:style w:type="paragraph" w:customStyle="1" w:styleId="ApplicationCasClientTitre">
    <w:name w:val="ApplicationCasClientTitre"/>
    <w:basedOn w:val="CorpsTexte"/>
    <w:qFormat/>
    <w:pPr>
      <w:pBdr>
        <w:left w:val="single" w:sz="22" w:space="4" w:color="auto"/>
      </w:pBdr>
      <w:spacing w:before="317" w:after="159"/>
    </w:pPr>
    <w:rPr>
      <w:b/>
      <w:color w:val="1D3461"/>
      <w:u w:val="single"/>
    </w:rPr>
  </w:style>
  <w:style w:type="paragraph" w:customStyle="1" w:styleId="ApplicationCasClient">
    <w:name w:val="ApplicationCasClient"/>
    <w:basedOn w:val="CorpsTexte"/>
    <w:qFormat/>
    <w:pPr>
      <w:pBdr>
        <w:left w:val="single" w:sz="22" w:space="4" w:color="auto"/>
      </w:pBdr>
      <w:spacing w:before="159" w:after="159"/>
    </w:pPr>
    <w:rPr>
      <w:b/>
      <w:color w:val="1D3461"/>
    </w:rPr>
  </w:style>
  <w:style w:type="paragraph" w:customStyle="1" w:styleId="PuceApplicationCasClient">
    <w:name w:val="Puce_ApplicationCasClient"/>
    <w:basedOn w:val="ApplicationCasClient"/>
    <w:qFormat/>
    <w:pPr>
      <w:numPr>
        <w:ilvl w:val="6"/>
        <w:numId w:val="7"/>
      </w:numPr>
      <w:tabs>
        <w:tab w:val="left" w:pos="363"/>
        <w:tab w:val="left" w:pos="726"/>
      </w:tabs>
      <w:spacing w:before="57" w:after="57"/>
    </w:pPr>
  </w:style>
  <w:style w:type="paragraph" w:customStyle="1" w:styleId="RenvoiTableau">
    <w:name w:val="RenvoiTableau"/>
    <w:basedOn w:val="CorpsTexte"/>
    <w:uiPriority w:val="99"/>
    <w:qFormat/>
    <w:pPr>
      <w:spacing w:before="159"/>
    </w:pPr>
    <w:rPr>
      <w:i/>
      <w:sz w:val="18"/>
    </w:rPr>
  </w:style>
  <w:style w:type="paragraph" w:customStyle="1" w:styleId="Puce3">
    <w:name w:val="Puce3"/>
    <w:basedOn w:val="CorpsTexte"/>
    <w:qFormat/>
    <w:pPr>
      <w:numPr>
        <w:ilvl w:val="8"/>
        <w:numId w:val="8"/>
      </w:numPr>
      <w:tabs>
        <w:tab w:val="left" w:pos="1452"/>
      </w:tabs>
      <w:spacing w:before="113" w:after="113"/>
    </w:pPr>
  </w:style>
  <w:style w:type="paragraph" w:customStyle="1" w:styleId="TitreTableau">
    <w:name w:val="TitreTableau"/>
    <w:basedOn w:val="Police"/>
    <w:qFormat/>
    <w:pPr>
      <w:keepNext/>
      <w:spacing w:before="374" w:after="187"/>
    </w:pPr>
    <w:rPr>
      <w:b/>
      <w:color w:val="172A3A"/>
    </w:rPr>
  </w:style>
  <w:style w:type="paragraph" w:customStyle="1" w:styleId="Intertitre3">
    <w:name w:val="Intertitre3"/>
    <w:basedOn w:val="Police"/>
    <w:qFormat/>
    <w:pPr>
      <w:keepNext/>
      <w:numPr>
        <w:ilvl w:val="4"/>
        <w:numId w:val="9"/>
      </w:numPr>
      <w:spacing w:before="249" w:after="62"/>
    </w:pPr>
    <w:rPr>
      <w:color w:val="577188"/>
      <w:u w:val="single"/>
    </w:rPr>
  </w:style>
  <w:style w:type="paragraph" w:customStyle="1" w:styleId="TextePiedPage">
    <w:name w:val="TextePiedPage"/>
    <w:basedOn w:val="Police"/>
    <w:qFormat/>
    <w:pPr>
      <w:spacing w:line="288" w:lineRule="auto"/>
    </w:pPr>
    <w:rPr>
      <w:sz w:val="16"/>
    </w:rPr>
  </w:style>
  <w:style w:type="paragraph" w:customStyle="1" w:styleId="TitreEtude">
    <w:name w:val="TitreEtude"/>
    <w:basedOn w:val="Police"/>
    <w:qFormat/>
    <w:pPr>
      <w:spacing w:before="1134" w:after="1134"/>
      <w:ind w:left="57"/>
    </w:pPr>
    <w:rPr>
      <w:color w:val="FFFFFF"/>
      <w:sz w:val="84"/>
      <w:shd w:val="clear" w:color="auto" w:fill="7E97AD"/>
    </w:rPr>
  </w:style>
  <w:style w:type="paragraph" w:customStyle="1" w:styleId="SousTitreEtude">
    <w:name w:val="SousTitreEtude"/>
    <w:basedOn w:val="Police"/>
    <w:qFormat/>
    <w:pPr>
      <w:spacing w:before="850"/>
    </w:pPr>
    <w:rPr>
      <w:color w:val="7E97AD"/>
      <w:sz w:val="60"/>
    </w:rPr>
  </w:style>
  <w:style w:type="paragraph" w:customStyle="1" w:styleId="Sommaire">
    <w:name w:val="Sommaire"/>
    <w:basedOn w:val="Police"/>
    <w:next w:val="SommaireTitre1"/>
    <w:qFormat/>
    <w:pPr>
      <w:pageBreakBefore/>
      <w:spacing w:before="624" w:line="288" w:lineRule="auto"/>
      <w:jc w:val="both"/>
    </w:pPr>
    <w:rPr>
      <w:b/>
      <w:color w:val="577188"/>
      <w:sz w:val="50"/>
    </w:rPr>
  </w:style>
  <w:style w:type="paragraph" w:customStyle="1" w:styleId="SommaireTitre1">
    <w:name w:val="SommaireTitre1"/>
    <w:basedOn w:val="Police"/>
    <w:next w:val="SommaireTitre2"/>
    <w:qFormat/>
    <w:pPr>
      <w:spacing w:before="227" w:line="288" w:lineRule="auto"/>
      <w:jc w:val="both"/>
    </w:pPr>
    <w:rPr>
      <w:b/>
      <w:sz w:val="24"/>
    </w:rPr>
  </w:style>
  <w:style w:type="paragraph" w:customStyle="1" w:styleId="SommaireTitre2">
    <w:name w:val="SommaireTitre2"/>
    <w:basedOn w:val="Police"/>
    <w:qFormat/>
    <w:pPr>
      <w:spacing w:before="170" w:line="288" w:lineRule="auto"/>
      <w:ind w:left="283"/>
      <w:jc w:val="both"/>
    </w:pPr>
    <w:rPr>
      <w:color w:val="7E97AD"/>
    </w:rPr>
  </w:style>
  <w:style w:type="paragraph" w:customStyle="1" w:styleId="TableauLigneTitre">
    <w:name w:val="TableauLigneTitre"/>
    <w:basedOn w:val="Police"/>
    <w:uiPriority w:val="99"/>
    <w:qFormat/>
    <w:pPr>
      <w:spacing w:before="85" w:after="85"/>
      <w:jc w:val="center"/>
    </w:pPr>
    <w:rPr>
      <w:b/>
      <w:color w:val="FFFFFF"/>
      <w:sz w:val="19"/>
      <w:shd w:val="clear" w:color="auto" w:fill="577188"/>
    </w:rPr>
  </w:style>
  <w:style w:type="paragraph" w:customStyle="1" w:styleId="TableauTexteLibelleLigne">
    <w:name w:val="TableauTexteLibelleLigne"/>
    <w:basedOn w:val="Police"/>
    <w:qFormat/>
    <w:pPr>
      <w:spacing w:before="62" w:after="62"/>
    </w:pPr>
    <w:rPr>
      <w:color w:val="172A3A"/>
      <w:sz w:val="19"/>
    </w:rPr>
  </w:style>
  <w:style w:type="paragraph" w:customStyle="1" w:styleId="TableauTexteContenus">
    <w:name w:val="TableauTexteContenus"/>
    <w:basedOn w:val="Police"/>
    <w:uiPriority w:val="99"/>
    <w:qFormat/>
    <w:pPr>
      <w:jc w:val="center"/>
    </w:pPr>
    <w:rPr>
      <w:sz w:val="19"/>
    </w:rPr>
  </w:style>
  <w:style w:type="paragraph" w:customStyle="1" w:styleId="TableauTexteLibelleLigneSurFond">
    <w:name w:val="TableauTexteLibelleLigneSurFond"/>
    <w:basedOn w:val="Police"/>
    <w:uiPriority w:val="99"/>
    <w:qFormat/>
    <w:pPr>
      <w:spacing w:before="62" w:after="62"/>
    </w:pPr>
    <w:rPr>
      <w:b/>
      <w:sz w:val="19"/>
      <w:shd w:val="clear" w:color="auto" w:fill="ECEFF1"/>
    </w:rPr>
  </w:style>
  <w:style w:type="paragraph" w:customStyle="1" w:styleId="TitreGraphique">
    <w:name w:val="TitreGraphique"/>
    <w:basedOn w:val="Police"/>
    <w:qFormat/>
    <w:pPr>
      <w:keepNext/>
      <w:spacing w:before="374" w:after="187"/>
    </w:pPr>
    <w:rPr>
      <w:b/>
      <w:color w:val="172A3A"/>
    </w:rPr>
  </w:style>
  <w:style w:type="paragraph" w:customStyle="1" w:styleId="TableauLigneSousTitre">
    <w:name w:val="TableauLigneSousTitre"/>
    <w:basedOn w:val="Police"/>
    <w:qFormat/>
    <w:pPr>
      <w:spacing w:before="57" w:after="57"/>
      <w:jc w:val="center"/>
    </w:pPr>
    <w:rPr>
      <w:b/>
      <w:sz w:val="19"/>
      <w:shd w:val="clear" w:color="auto" w:fill="ECEFF1"/>
    </w:rPr>
  </w:style>
  <w:style w:type="paragraph" w:customStyle="1" w:styleId="TableauLigneSousTotal">
    <w:name w:val="TableauLigneSousTotal"/>
    <w:basedOn w:val="Police"/>
    <w:qFormat/>
    <w:pPr>
      <w:jc w:val="center"/>
    </w:pPr>
    <w:rPr>
      <w:i/>
      <w:color w:val="577188"/>
      <w:sz w:val="19"/>
    </w:rPr>
  </w:style>
  <w:style w:type="paragraph" w:customStyle="1" w:styleId="TableauLigneTotal">
    <w:name w:val="TableauLigneTotal"/>
    <w:basedOn w:val="Police"/>
    <w:qFormat/>
    <w:pPr>
      <w:spacing w:before="57" w:after="57"/>
      <w:jc w:val="center"/>
    </w:pPr>
    <w:rPr>
      <w:b/>
      <w:color w:val="FFFFFF"/>
      <w:sz w:val="19"/>
      <w:shd w:val="clear" w:color="auto" w:fill="7E97AD"/>
    </w:rPr>
  </w:style>
  <w:style w:type="paragraph" w:customStyle="1" w:styleId="Intertitre4">
    <w:name w:val="Intertitre4"/>
    <w:basedOn w:val="Police"/>
    <w:qFormat/>
    <w:pPr>
      <w:keepNext/>
      <w:numPr>
        <w:ilvl w:val="5"/>
        <w:numId w:val="10"/>
      </w:numPr>
      <w:tabs>
        <w:tab w:val="left" w:pos="363"/>
      </w:tabs>
      <w:spacing w:before="249" w:after="62"/>
    </w:pPr>
    <w:rPr>
      <w:color w:val="1D3461"/>
    </w:rPr>
  </w:style>
  <w:style w:type="paragraph" w:customStyle="1" w:styleId="TexteEntete">
    <w:name w:val="TexteEntete"/>
    <w:basedOn w:val="Police"/>
    <w:qFormat/>
    <w:pPr>
      <w:spacing w:line="288" w:lineRule="auto"/>
    </w:pPr>
    <w:rPr>
      <w:sz w:val="16"/>
    </w:rPr>
  </w:style>
  <w:style w:type="paragraph" w:customStyle="1" w:styleId="Numrodepage1">
    <w:name w:val="Numéro de page1"/>
    <w:basedOn w:val="Police"/>
    <w:qFormat/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qFormat/>
    <w:rPr>
      <w:rFonts w:ascii="Calibri" w:eastAsia="Calibri" w:hAnsi="Calibri"/>
      <w:sz w:val="22"/>
    </w:rPr>
  </w:style>
  <w:style w:type="character" w:customStyle="1" w:styleId="PieddepageCar">
    <w:name w:val="Pied de page Car"/>
    <w:basedOn w:val="Policepardfaut"/>
    <w:qFormat/>
    <w:rPr>
      <w:rFonts w:ascii="Calibri" w:eastAsia="Calibri" w:hAnsi="Calibri"/>
      <w:sz w:val="22"/>
    </w:rPr>
  </w:style>
  <w:style w:type="character" w:customStyle="1" w:styleId="Accentuation1">
    <w:name w:val="Accentuation1"/>
    <w:qFormat/>
    <w:rPr>
      <w:b/>
      <w:color w:val="172A3A"/>
    </w:rPr>
  </w:style>
  <w:style w:type="paragraph" w:styleId="TM1">
    <w:name w:val="toc 1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193" w:after="100" w:line="288" w:lineRule="auto"/>
      <w:ind w:right="1417"/>
      <w:jc w:val="both"/>
    </w:pPr>
    <w:rPr>
      <w:rFonts w:ascii="Trebuchet MS" w:eastAsia="Trebuchet MS" w:hAnsi="Trebuchet MS"/>
      <w:b/>
      <w:color w:val="595959"/>
      <w:sz w:val="26"/>
    </w:rPr>
  </w:style>
  <w:style w:type="paragraph" w:styleId="TM2">
    <w:name w:val="toc 2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62" w:after="100" w:line="288" w:lineRule="auto"/>
      <w:ind w:right="1417"/>
      <w:jc w:val="both"/>
    </w:pPr>
    <w:rPr>
      <w:rFonts w:ascii="Trebuchet MS" w:eastAsia="Trebuchet MS" w:hAnsi="Trebuchet MS"/>
      <w:color w:val="7E97AD"/>
      <w:sz w:val="22"/>
    </w:rPr>
  </w:style>
  <w:style w:type="character" w:customStyle="1" w:styleId="Accentuation2">
    <w:name w:val="Accentuation2"/>
    <w:qFormat/>
    <w:rPr>
      <w:b/>
      <w:color w:val="577188"/>
      <w:u w:val="single"/>
    </w:rPr>
  </w:style>
  <w:style w:type="paragraph" w:styleId="NormalWeb">
    <w:name w:val="Normal (Web)"/>
    <w:basedOn w:val="Normal"/>
    <w:uiPriority w:val="99"/>
    <w:unhideWhenUsed/>
    <w:rsid w:val="004F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F7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Base>C:\USER_APPS\Systerial - demo\tmp\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</dc:creator>
  <cp:lastModifiedBy>Pierre-Louis MERLE</cp:lastModifiedBy>
  <cp:revision>34</cp:revision>
  <dcterms:created xsi:type="dcterms:W3CDTF">2022-01-10T19:09:00Z</dcterms:created>
  <dcterms:modified xsi:type="dcterms:W3CDTF">2022-01-13T09:34:00Z</dcterms:modified>
</cp:coreProperties>
</file>